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bookmarkStart w:id="0" w:name="_GoBack"/>
      <w:bookmarkEnd w:id="0"/>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1"/>
      <w:r w:rsidRPr="00307126">
        <w:rPr>
          <w:sz w:val="22"/>
          <w:szCs w:val="22"/>
        </w:rPr>
        <w:t xml:space="preserve">právne predpisy SR: </w:t>
      </w:r>
      <w:commentRangeEnd w:id="1"/>
      <w:r w:rsidR="00972C9F" w:rsidRPr="00773D77">
        <w:rPr>
          <w:rStyle w:val="Odkaznakomentr"/>
          <w:sz w:val="22"/>
        </w:rPr>
        <w:commentReference w:id="1"/>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12DE5354"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E05F9B" w:rsidRPr="00773D77">
        <w:rPr>
          <w:sz w:val="22"/>
          <w:lang w:val="sk-SK"/>
        </w:rPr>
        <w:t>.</w:t>
      </w:r>
    </w:p>
    <w:p w14:paraId="31FF8A8F" w14:textId="670DDBC5"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2F3B2D">
        <w:rPr>
          <w:sz w:val="22"/>
          <w:szCs w:val="22"/>
          <w:lang w:val="sk-SK"/>
        </w:rPr>
        <w:t> </w:t>
      </w:r>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2"/>
      <w:r w:rsidRPr="00307126">
        <w:rPr>
          <w:rFonts w:ascii="Times New Roman" w:hAnsi="Times New Roman"/>
        </w:rPr>
        <w:t xml:space="preserve">z rozhodnutia Poskytovateľa, ktorým bola schválená žiadosť o NFP </w:t>
      </w:r>
      <w:commentRangeEnd w:id="2"/>
      <w:r w:rsidR="008138ED" w:rsidRPr="00773D77">
        <w:rPr>
          <w:rStyle w:val="Odkaznakomentr"/>
          <w:rFonts w:ascii="Times New Roman" w:hAnsi="Times New Roman"/>
          <w:sz w:val="22"/>
          <w:lang w:val="x-none"/>
        </w:rPr>
        <w:commentReference w:id="2"/>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3"/>
      <w:commentRangeStart w:id="4"/>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3"/>
      <w:commentRangeEnd w:id="4"/>
      <w:r>
        <w:rPr>
          <w:rStyle w:val="Odkaznakomentr"/>
          <w:rFonts w:ascii="Times New Roman" w:eastAsia="Times New Roman" w:hAnsi="Times New Roman"/>
          <w:lang w:val="x-none" w:eastAsia="x-none"/>
        </w:rPr>
        <w:commentReference w:id="3"/>
      </w:r>
      <w:r w:rsidRPr="00F0368A">
        <w:rPr>
          <w:rStyle w:val="Odkaznakomentr"/>
          <w:rFonts w:ascii="Times New Roman" w:hAnsi="Times New Roman"/>
          <w:sz w:val="22"/>
          <w:lang w:val="x-none"/>
        </w:rPr>
        <w:commentReference w:id="4"/>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5"/>
      <w:commentRangeStart w:id="6"/>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5"/>
      <w:commentRangeEnd w:id="6"/>
      <w:r>
        <w:rPr>
          <w:rStyle w:val="Odkaznakomentr"/>
          <w:rFonts w:ascii="Times New Roman" w:eastAsia="Times New Roman" w:hAnsi="Times New Roman"/>
          <w:lang w:val="x-none" w:eastAsia="x-none"/>
        </w:rPr>
        <w:commentReference w:id="5"/>
      </w:r>
      <w:r w:rsidRPr="00F0368A">
        <w:rPr>
          <w:rStyle w:val="Odkaznakomentr"/>
          <w:rFonts w:ascii="Times New Roman" w:hAnsi="Times New Roman"/>
          <w:sz w:val="22"/>
          <w:lang w:val="x-none"/>
        </w:rPr>
        <w:commentReference w:id="6"/>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7"/>
      <w:commentRangeEnd w:id="7"/>
      <w:r w:rsidRPr="001E3C5A">
        <w:rPr>
          <w:rStyle w:val="Odkaznakomentr"/>
          <w:rFonts w:ascii="Times New Roman" w:hAnsi="Times New Roman"/>
          <w:b/>
          <w:sz w:val="22"/>
          <w:lang w:val="x-none"/>
        </w:rPr>
        <w:commentReference w:id="7"/>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8"/>
      <w:r w:rsidRPr="00307126">
        <w:rPr>
          <w:rFonts w:ascii="Times New Roman" w:hAnsi="Times New Roman"/>
          <w:b/>
        </w:rPr>
        <w:t>Financujúca banka</w:t>
      </w:r>
      <w:r w:rsidRPr="00307126">
        <w:rPr>
          <w:rFonts w:ascii="Times New Roman" w:hAnsi="Times New Roman"/>
        </w:rPr>
        <w:t xml:space="preserve"> </w:t>
      </w:r>
      <w:commentRangeEnd w:id="8"/>
      <w:r w:rsidRPr="00307126">
        <w:rPr>
          <w:rStyle w:val="Odkaznakomentr"/>
          <w:rFonts w:ascii="Times New Roman" w:eastAsia="Times New Roman" w:hAnsi="Times New Roman"/>
          <w:sz w:val="22"/>
          <w:szCs w:val="22"/>
          <w:lang w:val="x-none" w:eastAsia="x-none"/>
        </w:rPr>
        <w:commentReference w:id="8"/>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9"/>
      <w:commentRangeStart w:id="10"/>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9"/>
      <w:commentRangeEnd w:id="10"/>
      <w:r>
        <w:rPr>
          <w:rStyle w:val="Odkaznakomentr"/>
          <w:rFonts w:ascii="Times New Roman" w:eastAsia="Times New Roman" w:hAnsi="Times New Roman"/>
          <w:lang w:val="x-none" w:eastAsia="x-none"/>
        </w:rPr>
        <w:commentReference w:id="9"/>
      </w:r>
      <w:r w:rsidRPr="009A0837">
        <w:rPr>
          <w:rStyle w:val="Odkaznakomentr"/>
          <w:rFonts w:ascii="Times New Roman" w:hAnsi="Times New Roman"/>
          <w:sz w:val="22"/>
          <w:lang w:val="x-none"/>
        </w:rPr>
        <w:commentReference w:id="10"/>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11"/>
      <w:commentRangeStart w:id="12"/>
      <w:commentRangeStart w:id="13"/>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1"/>
      <w:r w:rsidR="00C15C8E">
        <w:rPr>
          <w:rStyle w:val="Odkaznakomentr"/>
          <w:rFonts w:ascii="Times New Roman" w:eastAsia="Times New Roman" w:hAnsi="Times New Roman"/>
          <w:lang w:val="x-none" w:eastAsia="x-none"/>
        </w:rPr>
        <w:commentReference w:id="11"/>
      </w:r>
    </w:p>
    <w:commentRangeEnd w:id="12"/>
    <w:commentRangeEnd w:id="13"/>
    <w:p w14:paraId="2ED86E3A" w14:textId="26EE6302"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12"/>
      </w:r>
      <w:r w:rsidRPr="00307126">
        <w:rPr>
          <w:rStyle w:val="Odkaznakomentr"/>
          <w:rFonts w:ascii="Times New Roman" w:eastAsia="Times New Roman" w:hAnsi="Times New Roman"/>
          <w:sz w:val="22"/>
          <w:szCs w:val="22"/>
          <w:lang w:val="x-none" w:eastAsia="x-none"/>
        </w:rPr>
        <w:commentReference w:id="13"/>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 xml:space="preserve">iniciatíva financovaná z osobitných rozpočtových prostriedkov a z cielených investícií z Európskeho sociálneho fondu na doplnenie a posilnenie podpory poskytovanej z európskych štrukturálnych </w:t>
      </w:r>
      <w:r w:rsidR="009809B8" w:rsidRPr="00307126">
        <w:rPr>
          <w:rFonts w:ascii="Times New Roman" w:hAnsi="Times New Roman"/>
        </w:rPr>
        <w:lastRenderedPageBreak/>
        <w:t>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14"/>
      <w:commentRangeStart w:id="15"/>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14"/>
      <w:commentRangeEnd w:id="15"/>
      <w:r>
        <w:rPr>
          <w:rStyle w:val="Odkaznakomentr"/>
          <w:rFonts w:ascii="Times New Roman" w:eastAsia="Times New Roman" w:hAnsi="Times New Roman"/>
          <w:lang w:val="x-none" w:eastAsia="x-none"/>
        </w:rPr>
        <w:commentReference w:id="14"/>
      </w:r>
      <w:r w:rsidRPr="00067253">
        <w:rPr>
          <w:rStyle w:val="Odkaznakomentr"/>
          <w:rFonts w:ascii="Times New Roman" w:hAnsi="Times New Roman"/>
          <w:sz w:val="22"/>
          <w:lang w:val="x-none"/>
        </w:rPr>
        <w:commentReference w:id="15"/>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w:t>
      </w:r>
      <w:r w:rsidRPr="00307126">
        <w:rPr>
          <w:rFonts w:ascii="Times New Roman" w:hAnsi="Times New Roman"/>
        </w:rPr>
        <w:lastRenderedPageBreak/>
        <w:t>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Nariadenie Európskeho parlamentu a Rady (EÚ, Euratom)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Euratom) č. </w:t>
      </w:r>
      <w:r w:rsidR="007D23F2" w:rsidRPr="004C6CB4">
        <w:t>966</w:t>
      </w:r>
      <w:r w:rsidRPr="004C6CB4">
        <w:t>/</w:t>
      </w:r>
      <w:r w:rsidR="007D23F2" w:rsidRPr="004C6CB4">
        <w:t>2012</w:t>
      </w:r>
      <w:r w:rsidRPr="004C6CB4">
        <w:t xml:space="preserve">; </w:t>
      </w:r>
    </w:p>
    <w:p w14:paraId="46B18E42" w14:textId="2C7AD5A6"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16"/>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16"/>
      <w:r w:rsidRPr="004C6CB4">
        <w:commentReference w:id="16"/>
      </w:r>
      <w:r w:rsidRPr="004C6CB4">
        <w:rPr>
          <w:rFonts w:ascii="Times New Roman" w:hAnsi="Times New Roman"/>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7"/>
      <w:r w:rsidRPr="00307126">
        <w:rPr>
          <w:rFonts w:ascii="Times New Roman" w:hAnsi="Times New Roman"/>
        </w:rPr>
        <w:t>........</w:t>
      </w:r>
      <w:commentRangeEnd w:id="17"/>
      <w:r w:rsidR="006B0D9B" w:rsidRPr="00773D77">
        <w:rPr>
          <w:rStyle w:val="Odkaznakomentr"/>
          <w:rFonts w:ascii="Times New Roman" w:hAnsi="Times New Roman"/>
          <w:sz w:val="22"/>
          <w:lang w:val="x-none"/>
        </w:rPr>
        <w:commentReference w:id="17"/>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w:t>
      </w:r>
      <w:r w:rsidRPr="00307126">
        <w:rPr>
          <w:rFonts w:ascii="Times New Roman" w:hAnsi="Times New Roman"/>
          <w:bCs/>
        </w:rPr>
        <w:lastRenderedPageBreak/>
        <w:t xml:space="preserve">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8"/>
      <w:r w:rsidR="00C72A22" w:rsidRPr="00307126">
        <w:rPr>
          <w:rStyle w:val="Odkaznakomentr"/>
          <w:rFonts w:ascii="Times New Roman" w:eastAsia="Times New Roman" w:hAnsi="Times New Roman"/>
          <w:sz w:val="24"/>
          <w:szCs w:val="24"/>
          <w:lang w:val="x-none" w:eastAsia="x-none"/>
        </w:rPr>
        <w:commentReference w:id="18"/>
      </w:r>
      <w:r w:rsidRPr="00307126">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lastRenderedPageBreak/>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19"/>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20"/>
      <w:r w:rsidRPr="004C6CB4">
        <w:rPr>
          <w:rFonts w:ascii="Times New Roman" w:hAnsi="Times New Roman"/>
          <w:bCs/>
        </w:rPr>
        <w:t xml:space="preserve">piatich rokov </w:t>
      </w:r>
      <w:commentRangeEnd w:id="20"/>
      <w:r w:rsidRPr="004C6CB4">
        <w:rPr>
          <w:bCs/>
        </w:rPr>
        <w:commentReference w:id="20"/>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w:t>
      </w:r>
      <w:r w:rsidRPr="004C6CB4">
        <w:rPr>
          <w:rFonts w:ascii="Times New Roman" w:hAnsi="Times New Roman"/>
          <w:bCs/>
        </w:rPr>
        <w:lastRenderedPageBreak/>
        <w:t>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19"/>
      <w:r w:rsidR="00D0452B" w:rsidRPr="004C6CB4">
        <w:rPr>
          <w:bCs/>
        </w:rPr>
        <w:commentReference w:id="19"/>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21"/>
      <w:commentRangeStart w:id="22"/>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23"/>
      <w:r w:rsidRPr="00307126">
        <w:rPr>
          <w:rFonts w:ascii="Times New Roman" w:hAnsi="Times New Roman"/>
          <w:bCs/>
        </w:rPr>
        <w:t>10</w:t>
      </w:r>
      <w:commentRangeEnd w:id="23"/>
      <w:r w:rsidRPr="00307126">
        <w:rPr>
          <w:rStyle w:val="Odkaznakomentr"/>
          <w:rFonts w:ascii="Times New Roman" w:hAnsi="Times New Roman"/>
          <w:sz w:val="22"/>
          <w:szCs w:val="22"/>
        </w:rPr>
        <w:commentReference w:id="23"/>
      </w:r>
      <w:r w:rsidRPr="00307126">
        <w:rPr>
          <w:rFonts w:ascii="Times New Roman" w:hAnsi="Times New Roman"/>
          <w:bCs/>
        </w:rPr>
        <w:t>% a viac oproti plánovanej hodnote Miery finančnej medzery;</w:t>
      </w:r>
      <w:commentRangeEnd w:id="21"/>
      <w:commentRangeEnd w:id="22"/>
      <w:r>
        <w:rPr>
          <w:rStyle w:val="Odkaznakomentr"/>
          <w:rFonts w:ascii="Times New Roman" w:eastAsia="Times New Roman" w:hAnsi="Times New Roman"/>
          <w:lang w:val="x-none" w:eastAsia="x-none"/>
        </w:rPr>
        <w:commentReference w:id="21"/>
      </w:r>
      <w:r w:rsidRPr="00067253">
        <w:rPr>
          <w:rStyle w:val="Odkaznakomentr"/>
          <w:rFonts w:ascii="Times New Roman" w:hAnsi="Times New Roman"/>
          <w:sz w:val="22"/>
          <w:lang w:val="x-none"/>
        </w:rPr>
        <w:commentReference w:id="22"/>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24"/>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24"/>
      <w:r w:rsidR="00576235" w:rsidRPr="00773D77">
        <w:rPr>
          <w:rStyle w:val="Odkaznakomentr"/>
          <w:rFonts w:ascii="Times New Roman" w:hAnsi="Times New Roman"/>
          <w:sz w:val="22"/>
          <w:lang w:val="x-none"/>
        </w:rPr>
        <w:commentReference w:id="24"/>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25"/>
      <w:commentRangeStart w:id="26"/>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25"/>
      <w:commentRangeEnd w:id="26"/>
      <w:r w:rsidR="002668F0" w:rsidRPr="004C6CB4">
        <w:rPr>
          <w:b/>
        </w:rPr>
        <w:commentReference w:id="25"/>
      </w:r>
      <w:r w:rsidR="002668F0" w:rsidRPr="004C6CB4">
        <w:commentReference w:id="26"/>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lastRenderedPageBreak/>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27"/>
      <w:r w:rsidRPr="004C6CB4">
        <w:rPr>
          <w:rFonts w:ascii="Times New Roman" w:hAnsi="Times New Roman"/>
        </w:rPr>
        <w:t>......................</w:t>
      </w:r>
      <w:commentRangeEnd w:id="27"/>
      <w:r w:rsidRPr="004C6CB4">
        <w:commentReference w:id="27"/>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28"/>
      <w:r w:rsidRPr="004C6CB4">
        <w:rPr>
          <w:rFonts w:ascii="Times New Roman" w:hAnsi="Times New Roman"/>
        </w:rPr>
        <w:t>.............mesiacov</w:t>
      </w:r>
      <w:commentRangeEnd w:id="28"/>
      <w:r w:rsidRPr="004C6CB4">
        <w:commentReference w:id="28"/>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29"/>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29"/>
      <w:r w:rsidR="00C72A22" w:rsidRPr="004C6CB4">
        <w:commentReference w:id="29"/>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xml:space="preserve">– výdavky rovnakého charakteru zoskupené na základe opatrení Ministerstva financií SR, ktorými sa ustanovujú podrobnosti o postupoch účtovania. Skupiny oprávnených výdavkov sú definované prostredníctvom Číselníka oprávnených </w:t>
      </w:r>
      <w:r w:rsidRPr="004C6CB4">
        <w:rPr>
          <w:rFonts w:ascii="Times New Roman" w:hAnsi="Times New Roman"/>
        </w:rPr>
        <w:lastRenderedPageBreak/>
        <w:t>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30"/>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30"/>
      <w:r w:rsidR="00F65B7D" w:rsidRPr="004C6CB4">
        <w:commentReference w:id="30"/>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w:t>
      </w:r>
      <w:r w:rsidRPr="004C6CB4">
        <w:rPr>
          <w:rFonts w:ascii="Times New Roman" w:hAnsi="Times New Roman"/>
        </w:rPr>
        <w:lastRenderedPageBreak/>
        <w:t xml:space="preserve">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31"/>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31"/>
      <w:r w:rsidRPr="00307126">
        <w:rPr>
          <w:rStyle w:val="Odkaznakomentr"/>
          <w:rFonts w:ascii="Times New Roman" w:eastAsia="Times New Roman" w:hAnsi="Times New Roman"/>
          <w:sz w:val="22"/>
          <w:szCs w:val="22"/>
          <w:lang w:eastAsia="sk-SK"/>
        </w:rPr>
        <w:commentReference w:id="31"/>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32"/>
      <w:r w:rsidRPr="00307126">
        <w:rPr>
          <w:rFonts w:ascii="Times New Roman" w:hAnsi="Times New Roman"/>
        </w:rPr>
        <w:t>...............</w:t>
      </w:r>
      <w:commentRangeEnd w:id="32"/>
      <w:r w:rsidRPr="00307126">
        <w:rPr>
          <w:rStyle w:val="Odkaznakomentr"/>
          <w:rFonts w:ascii="Times New Roman" w:eastAsia="Times New Roman" w:hAnsi="Times New Roman"/>
          <w:sz w:val="22"/>
          <w:szCs w:val="22"/>
          <w:lang w:eastAsia="sk-SK"/>
        </w:rPr>
        <w:commentReference w:id="32"/>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15F92C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33"/>
      <w:r w:rsidR="001E3EE1" w:rsidRPr="00307126">
        <w:rPr>
          <w:rFonts w:ascii="Times New Roman" w:hAnsi="Times New Roman"/>
        </w:rPr>
        <w:t>dokument</w:t>
      </w:r>
      <w:commentRangeEnd w:id="33"/>
      <w:r w:rsidR="001E3EE1" w:rsidRPr="00773D77">
        <w:rPr>
          <w:rStyle w:val="Odkaznakomentr"/>
          <w:rFonts w:ascii="Times New Roman" w:hAnsi="Times New Roman"/>
          <w:sz w:val="22"/>
          <w:lang w:val="x-none"/>
        </w:rPr>
        <w:commentReference w:id="33"/>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4"/>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34"/>
      <w:r w:rsidRPr="00307126">
        <w:rPr>
          <w:rStyle w:val="Odkaznakomentr"/>
          <w:rFonts w:ascii="Times New Roman" w:hAnsi="Times New Roman"/>
          <w:sz w:val="22"/>
          <w:szCs w:val="22"/>
        </w:rPr>
        <w:commentReference w:id="34"/>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11EEA579"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EE20F2" w:rsidRPr="004C6CB4">
        <w:rPr>
          <w:rFonts w:ascii="Times New Roman" w:hAnsi="Times New Roman"/>
        </w:rPr>
        <w:t>Zákona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35"/>
      <w:commentRangeEnd w:id="35"/>
      <w:r w:rsidR="00BA4EC8" w:rsidRPr="004C6CB4">
        <w:rPr>
          <w:rFonts w:ascii="Times New Roman" w:hAnsi="Times New Roman"/>
        </w:rPr>
        <w:commentReference w:id="35"/>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lastRenderedPageBreak/>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r w:rsidRPr="004C6CB4">
        <w:rPr>
          <w:rFonts w:ascii="Times New Roman" w:hAnsi="Times New Roman"/>
          <w:b/>
        </w:rPr>
        <w:t xml:space="preserve">Výdavky vykazované zjednodušeným spôsobom vykazovania </w:t>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7777777" w:rsidR="0095057C" w:rsidRPr="000E3433" w:rsidRDefault="00764BD1" w:rsidP="004C6CB4">
      <w:pPr>
        <w:pStyle w:val="Odsekzoznamu"/>
        <w:numPr>
          <w:ilvl w:val="0"/>
          <w:numId w:val="63"/>
        </w:numPr>
        <w:spacing w:before="120" w:line="264" w:lineRule="auto"/>
        <w:ind w:left="993" w:hanging="426"/>
      </w:pPr>
      <w:commentRangeStart w:id="36"/>
      <w:r w:rsidRPr="004C6CB4">
        <w:rPr>
          <w:sz w:val="22"/>
          <w:szCs w:val="22"/>
        </w:rPr>
        <w:t xml:space="preserve">predloženie dokumentácie k VO na výkon </w:t>
      </w:r>
      <w:r w:rsidR="00161C93" w:rsidRPr="004C6CB4">
        <w:rPr>
          <w:sz w:val="22"/>
          <w:szCs w:val="22"/>
        </w:rPr>
        <w:t xml:space="preserve">prvej </w:t>
      </w:r>
      <w:r w:rsidRPr="004C6CB4">
        <w:rPr>
          <w:sz w:val="22"/>
          <w:szCs w:val="22"/>
        </w:rPr>
        <w:t xml:space="preserve">ex-ante kontroly, ak je takáto kontrola vzhľadom na charakter zákazky povinná, </w:t>
      </w:r>
      <w:r w:rsidR="0095057C" w:rsidRPr="004C6CB4">
        <w:rPr>
          <w:sz w:val="22"/>
          <w:szCs w:val="22"/>
        </w:rPr>
        <w:t>alebo</w:t>
      </w:r>
      <w:commentRangeEnd w:id="36"/>
      <w:r w:rsidR="00335ACA" w:rsidRPr="004C6CB4">
        <w:rPr>
          <w:rStyle w:val="Odkaznakomentr"/>
          <w:sz w:val="22"/>
          <w:szCs w:val="22"/>
          <w:lang w:val="x-none" w:eastAsia="x-none"/>
        </w:rPr>
        <w:commentReference w:id="36"/>
      </w:r>
      <w:r w:rsidR="0095057C" w:rsidRPr="004C6CB4">
        <w:rPr>
          <w:sz w:val="22"/>
          <w:szCs w:val="22"/>
        </w:rPr>
        <w:t xml:space="preserve"> </w:t>
      </w:r>
    </w:p>
    <w:p w14:paraId="1CC179FD" w14:textId="77777777"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nie je povinne vykonávaná </w:t>
      </w:r>
      <w:r w:rsidR="00161C93" w:rsidRPr="004C6CB4">
        <w:rPr>
          <w:sz w:val="22"/>
          <w:szCs w:val="22"/>
        </w:rPr>
        <w:t xml:space="preserve">prvá </w:t>
      </w:r>
      <w:r w:rsidRPr="004C6CB4">
        <w:rPr>
          <w:sz w:val="22"/>
          <w:szCs w:val="22"/>
        </w:rPr>
        <w:t>ex-ante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7777777" w:rsidR="007A714C" w:rsidRPr="004C6CB4" w:rsidRDefault="002F22D1" w:rsidP="004C6CB4">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7"/>
      <w:commentRangeStart w:id="38"/>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37"/>
    <w:commentRangeEnd w:id="38"/>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37"/>
      </w:r>
      <w:r w:rsidRPr="00067253">
        <w:rPr>
          <w:rStyle w:val="Odkaznakomentr"/>
          <w:rFonts w:ascii="Times New Roman" w:hAnsi="Times New Roman"/>
          <w:sz w:val="22"/>
          <w:lang w:val="x-none"/>
        </w:rPr>
        <w:commentReference w:id="38"/>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w:t>
      </w:r>
      <w:r w:rsidRPr="00307126">
        <w:rPr>
          <w:rFonts w:ascii="Times New Roman" w:hAnsi="Times New Roman"/>
        </w:rPr>
        <w:lastRenderedPageBreak/>
        <w:t>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39"/>
      <w:r w:rsidR="00156C07" w:rsidRPr="00307126">
        <w:rPr>
          <w:rFonts w:ascii="Times New Roman" w:hAnsi="Times New Roman"/>
        </w:rPr>
        <w:t>a zdroja pro-rata</w:t>
      </w:r>
      <w:commentRangeEnd w:id="39"/>
      <w:r w:rsidR="00E47083">
        <w:rPr>
          <w:rStyle w:val="Odkaznakomentr"/>
          <w:rFonts w:ascii="Times New Roman" w:eastAsia="Times New Roman" w:hAnsi="Times New Roman"/>
          <w:lang w:val="x-none" w:eastAsia="x-none"/>
        </w:rPr>
        <w:commentReference w:id="39"/>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40"/>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41"/>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41"/>
      <w:r w:rsidR="00C1199A" w:rsidRPr="00307126">
        <w:rPr>
          <w:rStyle w:val="Odkaznakomentr"/>
          <w:rFonts w:ascii="Times New Roman" w:eastAsia="Times New Roman" w:hAnsi="Times New Roman"/>
          <w:sz w:val="22"/>
          <w:szCs w:val="22"/>
          <w:lang w:eastAsia="sk-SK"/>
        </w:rPr>
        <w:commentReference w:id="41"/>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40"/>
      <w:r w:rsidR="009C6F75" w:rsidRPr="00773D77">
        <w:rPr>
          <w:rStyle w:val="Odkaznakomentr"/>
          <w:rFonts w:ascii="Times New Roman" w:hAnsi="Times New Roman"/>
          <w:sz w:val="22"/>
          <w:lang w:val="x-none"/>
        </w:rPr>
        <w:commentReference w:id="40"/>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28492548"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lastRenderedPageBreak/>
        <w:t xml:space="preserve">V závislosti od </w:t>
      </w:r>
      <w:r w:rsidR="00E67226" w:rsidRPr="00F557E6">
        <w:rPr>
          <w:rFonts w:ascii="Times New Roman" w:hAnsi="Times New Roman"/>
        </w:rPr>
        <w:t xml:space="preserve">preukázateľného začatia postupu zadávania zákazky bude </w:t>
      </w:r>
      <w:r w:rsidRPr="00F557E6">
        <w:rPr>
          <w:rFonts w:ascii="Times New Roman" w:hAnsi="Times New Roman"/>
        </w:rPr>
        <w:t>prijímateľ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68E08538"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87DB5">
        <w:rPr>
          <w:rFonts w:ascii="Times New Roman" w:hAnsi="Times New Roman"/>
        </w:rPr>
        <w:t xml:space="preserve">30 </w:t>
      </w:r>
      <w:r w:rsidR="00685086" w:rsidRPr="00307126">
        <w:rPr>
          <w:rFonts w:ascii="Times New Roman" w:hAnsi="Times New Roman"/>
        </w:rPr>
        <w:t xml:space="preserve">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18E8532E" w:rsidR="003C0F18" w:rsidRPr="00307126" w:rsidRDefault="003C0F18" w:rsidP="00DC1ADB">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 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 xml:space="preserve">v závislosti od hodnoty a typu zákazky, pričom uvedená povinnosť platí pre všetkých </w:t>
      </w:r>
      <w:r w:rsidR="008F0A11">
        <w:rPr>
          <w:rFonts w:ascii="Times New Roman" w:hAnsi="Times New Roman"/>
        </w:rPr>
        <w:t>P</w:t>
      </w:r>
      <w:r w:rsidRPr="00307126">
        <w:rPr>
          <w:rFonts w:ascii="Times New Roman" w:hAnsi="Times New Roman"/>
        </w:rPr>
        <w:t>rijímateľov</w:t>
      </w:r>
      <w:r w:rsidR="00E612A9" w:rsidRPr="00307126">
        <w:rPr>
          <w:rFonts w:ascii="Times New Roman" w:hAnsi="Times New Roman"/>
        </w:rPr>
        <w:t xml:space="preserve"> </w:t>
      </w:r>
      <w:r w:rsidR="00760145" w:rsidRPr="00307126">
        <w:rPr>
          <w:rFonts w:ascii="Times New Roman" w:hAnsi="Times New Roman"/>
        </w:rPr>
        <w:t xml:space="preserve">(pozn. uvedená povinnosť platí pre všetkých </w:t>
      </w:r>
      <w:r w:rsidR="008F0A11">
        <w:rPr>
          <w:rFonts w:ascii="Times New Roman" w:hAnsi="Times New Roman"/>
        </w:rPr>
        <w:t>P</w:t>
      </w:r>
      <w:r w:rsidR="00760145" w:rsidRPr="00307126">
        <w:rPr>
          <w:rFonts w:ascii="Times New Roman" w:hAnsi="Times New Roman"/>
        </w:rPr>
        <w:t>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r w:rsidR="00EA3175" w:rsidRPr="00307126">
        <w:rPr>
          <w:rFonts w:ascii="Times New Roman" w:hAnsi="Times New Roman"/>
        </w:rPr>
        <w:t xml:space="preserve"> je povinný s ohľadom na podmienky uvedené v predošlej vete vyžadovať predloženie dokumentácie cez ITMS2014+ aj v prípade zákaziek realizovaných s využitím elektronického trhoviska a zákaziek s nízkou hodnotou, pričom rozsah takto predkladanej dokumentácie určí </w:t>
      </w:r>
      <w:r w:rsidR="00E96899">
        <w:rPr>
          <w:rFonts w:ascii="Times New Roman" w:hAnsi="Times New Roman"/>
        </w:rPr>
        <w:t>Poskytovateľ</w:t>
      </w:r>
      <w:r w:rsidR="00EA3175" w:rsidRPr="00307126">
        <w:rPr>
          <w:rFonts w:ascii="Times New Roman" w:hAnsi="Times New Roman"/>
        </w:rPr>
        <w:t xml:space="preserve">. </w:t>
      </w:r>
      <w:r w:rsidRPr="00307126">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491A08">
        <w:rPr>
          <w:rFonts w:ascii="Times New Roman" w:hAnsi="Times New Roman"/>
        </w:rPr>
        <w:t xml:space="preserve"> </w:t>
      </w:r>
      <w:r w:rsidR="00491A08" w:rsidRPr="00307126">
        <w:rPr>
          <w:rFonts w:ascii="Times New Roman" w:hAnsi="Times New Roman"/>
        </w:rPr>
        <w:t>predkladanej</w:t>
      </w:r>
      <w:r w:rsidR="00491A08">
        <w:rPr>
          <w:rFonts w:ascii="Times New Roman" w:hAnsi="Times New Roman"/>
        </w:rPr>
        <w:t xml:space="preserve"> cez ITMS2014+</w:t>
      </w:r>
      <w:r w:rsidRPr="00307126">
        <w:rPr>
          <w:rFonts w:ascii="Times New Roman" w:hAnsi="Times New Roman"/>
        </w:rPr>
        <w:t xml:space="preserve">,  a vyhlásenie, že predkladaná </w:t>
      </w:r>
      <w:r w:rsidR="00E96899" w:rsidRPr="00307126">
        <w:rPr>
          <w:rFonts w:ascii="Times New Roman" w:hAnsi="Times New Roman"/>
        </w:rPr>
        <w:t>dokumentáci</w:t>
      </w:r>
      <w:r w:rsidR="00E96899">
        <w:rPr>
          <w:rFonts w:ascii="Times New Roman" w:hAnsi="Times New Roman"/>
        </w:rPr>
        <w:t>a</w:t>
      </w:r>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FD4EE9">
        <w:rPr>
          <w:rFonts w:ascii="Times New Roman" w:hAnsi="Times New Roman"/>
        </w:rPr>
        <w:t>4</w:t>
      </w:r>
      <w:r w:rsidRPr="00307126">
        <w:rPr>
          <w:rFonts w:ascii="Times New Roman" w:hAnsi="Times New Roman"/>
        </w:rPr>
        <w:t xml:space="preserve"> tohto článku VZP. </w:t>
      </w:r>
      <w:r w:rsidR="00FD4EE9" w:rsidRPr="00923718">
        <w:rPr>
          <w:rFonts w:ascii="Times New Roman" w:hAnsi="Times New Roman"/>
        </w:rPr>
        <w:t xml:space="preserve">V prípade, že dokumentácia predložená </w:t>
      </w:r>
      <w:r w:rsidR="00FD4EE9" w:rsidRPr="00923718">
        <w:rPr>
          <w:rFonts w:ascii="Times New Roman" w:hAnsi="Times New Roman"/>
        </w:rPr>
        <w:lastRenderedPageBreak/>
        <w:t>cez ITMS 2014+ nie je kompletná, prijímateľ je povinný predložiť aj chýbajúcu časť dokumentácie cez I</w:t>
      </w:r>
      <w:r w:rsidR="00FD4EE9" w:rsidRPr="001E1953">
        <w:rPr>
          <w:rFonts w:ascii="Times New Roman" w:hAnsi="Times New Roman"/>
        </w:rPr>
        <w:t>TMS 2014+ na základe žiadosti Poskytovate</w:t>
      </w:r>
      <w:r w:rsidR="00FD4EE9">
        <w:rPr>
          <w:rFonts w:ascii="Times New Roman" w:hAnsi="Times New Roman"/>
        </w:rPr>
        <w:t>ľa</w:t>
      </w:r>
      <w:r w:rsidR="00FD4EE9" w:rsidRPr="001E1953">
        <w:rPr>
          <w:rFonts w:ascii="Times New Roman" w:hAnsi="Times New Roman"/>
        </w:rPr>
        <w:t xml:space="preserve"> </w:t>
      </w:r>
      <w:r w:rsidR="00FD4EE9" w:rsidRPr="00923718">
        <w:rPr>
          <w:rFonts w:ascii="Times New Roman" w:hAnsi="Times New Roman"/>
        </w:rPr>
        <w:t xml:space="preserve">o doplnenie dokumentácie doručenej </w:t>
      </w:r>
      <w:r w:rsidR="00DC1ADB" w:rsidRPr="00DC1ADB">
        <w:rPr>
          <w:rFonts w:ascii="Times New Roman" w:hAnsi="Times New Roman"/>
        </w:rPr>
        <w:t>v listinnej podobe alebo elektronickej podobe</w:t>
      </w:r>
      <w:r w:rsidR="00FD4EE9" w:rsidRPr="00923718">
        <w:rPr>
          <w:rFonts w:ascii="Times New Roman" w:hAnsi="Times New Roman"/>
        </w:rPr>
        <w:t>. Uvedené sa týka aj prípadov, keď je dokumentácia predložená cez ITMS 2014+ nečitateľná alebo poškodená.</w:t>
      </w:r>
      <w:r w:rsidR="008066A8" w:rsidRPr="00307126">
        <w:rPr>
          <w:rFonts w:ascii="Times New Roman" w:hAnsi="Times New Roman"/>
        </w:rPr>
        <w:t xml:space="preserve"> V prípade, ak Prijímateľ ktorékoľvek vyhlásenie podľa tohto odseku napriek výzve Poskytovateľa nepredloží,</w:t>
      </w:r>
      <w:r w:rsidR="009F6A65">
        <w:rPr>
          <w:rFonts w:ascii="Times New Roman" w:hAnsi="Times New Roman"/>
        </w:rPr>
        <w:t xml:space="preserve"> môže byť uvedené kvalifikované ako </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w:t>
      </w:r>
      <w:r w:rsidR="002A4553">
        <w:rPr>
          <w:rFonts w:ascii="Times New Roman" w:hAnsi="Times New Roman"/>
        </w:rPr>
        <w:t>í</w:t>
      </w:r>
      <w:r w:rsidR="008D3361" w:rsidRPr="00307126">
        <w:rPr>
          <w:rFonts w:ascii="Times New Roman" w:hAnsi="Times New Roman"/>
        </w:rPr>
        <w:t xml:space="preserve"> Prijímateľom</w:t>
      </w:r>
      <w:r w:rsidR="002A4553">
        <w:rPr>
          <w:rFonts w:ascii="Times New Roman" w:hAnsi="Times New Roman"/>
        </w:rPr>
        <w:t>, resp. podstatné porušenie Zmluvy o poskytnutí NFP</w:t>
      </w:r>
      <w:r w:rsidR="00767928" w:rsidRPr="00307126">
        <w:rPr>
          <w:rFonts w:ascii="Times New Roman" w:hAnsi="Times New Roman"/>
        </w:rPr>
        <w:t xml:space="preserve">. </w:t>
      </w:r>
      <w:r w:rsidR="000478C1" w:rsidRPr="000478C1">
        <w:rPr>
          <w:rFonts w:ascii="Times New Roman" w:hAnsi="Times New Roman"/>
        </w:rPr>
        <w:t>Lehoty na výkon finančnej kontroly obstarávania tovarov, služieb, stavebných prác začínajú plynúť prvým pracovným dňom nasledujúcim po evidovaní prijatej žiadosti Prijímateľa o vykonanie kontroly.</w:t>
      </w:r>
      <w:r w:rsidR="000478C1">
        <w:rPr>
          <w:rFonts w:ascii="Times New Roman" w:hAnsi="Times New Roman"/>
        </w:rPr>
        <w:t xml:space="preserve"> </w:t>
      </w:r>
      <w:r w:rsidR="003740BD" w:rsidRPr="003740BD">
        <w:rPr>
          <w:rFonts w:ascii="Times New Roman" w:hAnsi="Times New Roman"/>
        </w:rPr>
        <w:t>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8066A8" w:rsidRPr="00307126">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42"/>
      <w:r w:rsidR="008B0FB1" w:rsidRPr="00307126">
        <w:rPr>
          <w:rFonts w:ascii="Times New Roman" w:hAnsi="Times New Roman"/>
        </w:rPr>
        <w:t xml:space="preserve">obvyklej praxe (best practice) </w:t>
      </w:r>
      <w:commentRangeEnd w:id="42"/>
      <w:r w:rsidR="005E4601" w:rsidRPr="00307126">
        <w:rPr>
          <w:rStyle w:val="Odkaznakomentr"/>
          <w:rFonts w:ascii="Times New Roman" w:eastAsia="Times New Roman" w:hAnsi="Times New Roman"/>
          <w:sz w:val="22"/>
          <w:szCs w:val="22"/>
          <w:lang w:val="x-none" w:eastAsia="x-none"/>
        </w:rPr>
        <w:commentReference w:id="42"/>
      </w:r>
      <w:r w:rsidR="008B0FB1" w:rsidRPr="00307126">
        <w:rPr>
          <w:rFonts w:ascii="Times New Roman" w:hAnsi="Times New Roman"/>
        </w:rPr>
        <w:t xml:space="preserve">aplikovanej kontrolnými alebo auditnými orgánmi </w:t>
      </w:r>
      <w:r w:rsidR="008B0FB1" w:rsidRPr="00307126">
        <w:rPr>
          <w:rFonts w:ascii="Times New Roman" w:hAnsi="Times New Roman"/>
        </w:rPr>
        <w:lastRenderedPageBreak/>
        <w:t xml:space="preserve">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8EBF5B2"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49C8AC0D"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E96899">
        <w:rPr>
          <w:rFonts w:ascii="Times New Roman" w:hAnsi="Times New Roman"/>
        </w:rPr>
        <w:t>P</w:t>
      </w:r>
      <w:r w:rsidR="00E96899" w:rsidRPr="00307126">
        <w:rPr>
          <w:rFonts w:ascii="Times New Roman" w:hAnsi="Times New Roman"/>
        </w:rPr>
        <w:t xml:space="preserve">oskytovateľ </w:t>
      </w:r>
      <w:r w:rsidR="00932614" w:rsidRPr="00307126">
        <w:rPr>
          <w:rFonts w:ascii="Times New Roman" w:hAnsi="Times New Roman"/>
        </w:rPr>
        <w:t>vyhodnotiť ako podstatné porušenie zmluvy o NFP.</w:t>
      </w:r>
    </w:p>
    <w:p w14:paraId="41915791" w14:textId="08F9935C" w:rsidR="00E96899" w:rsidRPr="00A50F05" w:rsidRDefault="003C0F18" w:rsidP="00E96899">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 xml:space="preserve">návrhu </w:t>
      </w:r>
      <w:r w:rsidR="00E96899" w:rsidRPr="00C33E80">
        <w:rPr>
          <w:rFonts w:ascii="Times New Roman" w:hAnsi="Times New Roman"/>
        </w:rPr>
        <w:lastRenderedPageBreak/>
        <w:t>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p>
    <w:p w14:paraId="7BF34EFA" w14:textId="49BBB812" w:rsidR="003C0F18" w:rsidRPr="00307126" w:rsidRDefault="003C0F18" w:rsidP="00631E8F">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43"/>
      <w:r w:rsidRPr="00307126">
        <w:rPr>
          <w:rFonts w:ascii="Times New Roman" w:hAnsi="Times New Roman"/>
        </w:rPr>
        <w:t xml:space="preserve">iných nevyhnutných úkonov </w:t>
      </w:r>
      <w:commentRangeEnd w:id="43"/>
      <w:r w:rsidR="000E1967" w:rsidRPr="00307126">
        <w:rPr>
          <w:rStyle w:val="Odkaznakomentr"/>
          <w:rFonts w:ascii="Times New Roman" w:eastAsia="Times New Roman" w:hAnsi="Times New Roman"/>
          <w:sz w:val="22"/>
          <w:szCs w:val="22"/>
          <w:lang w:val="x-none" w:eastAsia="x-none"/>
        </w:rPr>
        <w:commentReference w:id="43"/>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6D65527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5F2712E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3F6D501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BC2C025"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 xml:space="preserve">vykonanie iného </w:t>
      </w:r>
      <w:r w:rsidRPr="00307126">
        <w:rPr>
          <w:rFonts w:ascii="Times New Roman" w:hAnsi="Times New Roman"/>
        </w:rPr>
        <w:lastRenderedPageBreak/>
        <w:t>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39510DC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2761378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w:t>
      </w:r>
      <w:r w:rsidRPr="00307126">
        <w:rPr>
          <w:sz w:val="22"/>
          <w:szCs w:val="22"/>
        </w:rPr>
        <w:lastRenderedPageBreak/>
        <w:t xml:space="preserve">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44"/>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44"/>
      <w:r w:rsidR="00AC0259" w:rsidRPr="00957E85">
        <w:rPr>
          <w:rStyle w:val="Odkaznakomentr"/>
          <w:rFonts w:ascii="Times New Roman" w:eastAsia="Times New Roman" w:hAnsi="Times New Roman"/>
          <w:sz w:val="22"/>
          <w:szCs w:val="22"/>
          <w:lang w:val="x-none" w:eastAsia="x-none"/>
        </w:rPr>
        <w:commentReference w:id="44"/>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6D46D5A4"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45"/>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45"/>
      <w:r w:rsidR="000A717C">
        <w:rPr>
          <w:rStyle w:val="Odkaznakomentr"/>
          <w:rFonts w:ascii="Times New Roman" w:eastAsia="Times New Roman" w:hAnsi="Times New Roman"/>
          <w:lang w:val="x-none" w:eastAsia="x-none"/>
        </w:rPr>
        <w:commentReference w:id="45"/>
      </w:r>
      <w:r w:rsidRPr="00AC3F8B">
        <w:rPr>
          <w:rFonts w:ascii="Times New Roman" w:hAnsi="Times New Roman"/>
        </w:rPr>
        <w:t xml:space="preserve">výšky finančnej opravy prislúchajúcej konkrétnemu porušeniu, podľa ktorého postupuje Poskytovateľ pri určení finančnej opravy a ex-ante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46"/>
      <w:r w:rsidRPr="00307126">
        <w:rPr>
          <w:rFonts w:ascii="Times New Roman" w:hAnsi="Times New Roman"/>
        </w:rPr>
        <w:lastRenderedPageBreak/>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46"/>
      <w:r w:rsidRPr="00307126">
        <w:rPr>
          <w:rStyle w:val="Odkaznakomentr"/>
          <w:rFonts w:ascii="Times New Roman" w:eastAsia="Times New Roman" w:hAnsi="Times New Roman"/>
          <w:lang w:val="x-none" w:eastAsia="x-none"/>
        </w:rPr>
        <w:commentReference w:id="46"/>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12D7B4"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lastRenderedPageBreak/>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47"/>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47"/>
      <w:r w:rsidR="00EF4107">
        <w:rPr>
          <w:rStyle w:val="Odkaznakomentr"/>
          <w:rFonts w:ascii="Times New Roman" w:eastAsia="Times New Roman" w:hAnsi="Times New Roman"/>
          <w:lang w:val="x-none" w:eastAsia="x-none"/>
        </w:rPr>
        <w:commentReference w:id="47"/>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48"/>
      <w:commentRangeStart w:id="49"/>
      <w:r w:rsidRPr="00307126">
        <w:rPr>
          <w:rFonts w:ascii="Times New Roman" w:hAnsi="Times New Roman"/>
        </w:rPr>
        <w:t>Prijímateľ</w:t>
      </w:r>
      <w:commentRangeEnd w:id="48"/>
      <w:r w:rsidR="00BF3F38" w:rsidRPr="00307126">
        <w:rPr>
          <w:rStyle w:val="Odkaznakomentr"/>
          <w:rFonts w:ascii="Times New Roman" w:eastAsia="Times New Roman" w:hAnsi="Times New Roman"/>
          <w:sz w:val="22"/>
          <w:szCs w:val="22"/>
          <w:lang w:val="x-none" w:eastAsia="x-none"/>
        </w:rPr>
        <w:commentReference w:id="48"/>
      </w:r>
      <w:r w:rsidRPr="00307126">
        <w:rPr>
          <w:rFonts w:ascii="Times New Roman" w:hAnsi="Times New Roman"/>
        </w:rPr>
        <w:t xml:space="preserve"> </w:t>
      </w:r>
      <w:commentRangeEnd w:id="49"/>
      <w:r w:rsidR="00D73FAF" w:rsidRPr="00307126">
        <w:rPr>
          <w:rStyle w:val="Odkaznakomentr"/>
          <w:rFonts w:ascii="Times New Roman" w:eastAsia="Times New Roman" w:hAnsi="Times New Roman"/>
          <w:sz w:val="22"/>
          <w:szCs w:val="22"/>
          <w:lang w:val="x-none" w:eastAsia="x-none"/>
        </w:rPr>
        <w:commentReference w:id="49"/>
      </w:r>
      <w:r w:rsidRPr="00307126">
        <w:rPr>
          <w:rFonts w:ascii="Times New Roman" w:hAnsi="Times New Roman"/>
        </w:rPr>
        <w:t xml:space="preserve">sa zaväzuje predkladať Poskytovateľovi Následné monitorovacie správy Projektu počas </w:t>
      </w:r>
      <w:commentRangeStart w:id="50"/>
      <w:r w:rsidRPr="00307126">
        <w:rPr>
          <w:rFonts w:ascii="Times New Roman" w:hAnsi="Times New Roman"/>
        </w:rPr>
        <w:t xml:space="preserve">5 rokov </w:t>
      </w:r>
      <w:commentRangeEnd w:id="50"/>
      <w:r w:rsidRPr="00307126">
        <w:rPr>
          <w:rFonts w:ascii="Times New Roman" w:hAnsi="Times New Roman"/>
        </w:rPr>
        <w:commentReference w:id="50"/>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51"/>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51"/>
      <w:r w:rsidR="0050148F" w:rsidRPr="00307126">
        <w:rPr>
          <w:rStyle w:val="Odkaznakomentr"/>
          <w:rFonts w:ascii="Times New Roman" w:eastAsia="Times New Roman" w:hAnsi="Times New Roman"/>
          <w:sz w:val="22"/>
          <w:szCs w:val="22"/>
          <w:lang w:val="x-none" w:eastAsia="x-none"/>
        </w:rPr>
        <w:commentReference w:id="51"/>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52"/>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52"/>
      <w:r w:rsidR="003D3D57" w:rsidRPr="00307126">
        <w:rPr>
          <w:rStyle w:val="Odkaznakomentr"/>
          <w:rFonts w:ascii="Times New Roman" w:eastAsia="Times New Roman" w:hAnsi="Times New Roman"/>
          <w:sz w:val="22"/>
          <w:szCs w:val="22"/>
          <w:lang w:val="x-none" w:eastAsia="x-none"/>
        </w:rPr>
        <w:commentReference w:id="52"/>
      </w:r>
      <w:r w:rsidR="00161823" w:rsidRPr="00307126">
        <w:rPr>
          <w:rFonts w:ascii="Times New Roman" w:hAnsi="Times New Roman"/>
        </w:rPr>
        <w:t xml:space="preserve"> </w:t>
      </w:r>
      <w:commentRangeStart w:id="53"/>
      <w:r w:rsidR="00161823" w:rsidRPr="00307126">
        <w:rPr>
          <w:rFonts w:ascii="Times New Roman" w:hAnsi="Times New Roman"/>
        </w:rPr>
        <w:t xml:space="preserve">Prijímateľ je povinný informovať Poskytovateľa o zavedení ozdravného režimu a zavedení nútenej správy. </w:t>
      </w:r>
      <w:commentRangeEnd w:id="53"/>
      <w:r w:rsidR="00161823" w:rsidRPr="00307126">
        <w:rPr>
          <w:rStyle w:val="Odkaznakomentr"/>
          <w:rFonts w:ascii="Times New Roman" w:eastAsia="Times New Roman" w:hAnsi="Times New Roman"/>
          <w:sz w:val="22"/>
          <w:szCs w:val="22"/>
          <w:lang w:val="x-none" w:eastAsia="x-none"/>
        </w:rPr>
        <w:commentReference w:id="53"/>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54"/>
      <w:commentRangeStart w:id="55"/>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54"/>
      <w:commentRangeEnd w:id="55"/>
      <w:r w:rsidRPr="00834F40">
        <w:rPr>
          <w:rStyle w:val="Odkaznakomentr"/>
          <w:rFonts w:ascii="Times New Roman" w:eastAsia="Times New Roman" w:hAnsi="Times New Roman"/>
          <w:sz w:val="22"/>
          <w:szCs w:val="22"/>
          <w:lang w:val="x-none" w:eastAsia="x-none"/>
        </w:rPr>
        <w:commentReference w:id="54"/>
      </w:r>
      <w:r w:rsidRPr="00307126">
        <w:rPr>
          <w:rStyle w:val="Odkaznakomentr"/>
          <w:rFonts w:ascii="Times New Roman" w:eastAsia="Times New Roman" w:hAnsi="Times New Roman"/>
          <w:sz w:val="22"/>
          <w:szCs w:val="22"/>
          <w:lang w:val="x-none" w:eastAsia="x-none"/>
        </w:rPr>
        <w:commentReference w:id="55"/>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lastRenderedPageBreak/>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56"/>
      <w:r w:rsidRPr="00307126">
        <w:rPr>
          <w:rFonts w:ascii="Times New Roman" w:hAnsi="Times New Roman"/>
        </w:rPr>
        <w:t>nie však neskôr ako v lehote určenej Poskytovateľom</w:t>
      </w:r>
      <w:commentRangeEnd w:id="56"/>
      <w:r w:rsidRPr="00307126">
        <w:rPr>
          <w:rStyle w:val="Odkaznakomentr"/>
          <w:rFonts w:ascii="Times New Roman" w:hAnsi="Times New Roman"/>
          <w:sz w:val="22"/>
          <w:szCs w:val="22"/>
          <w:lang w:val="x-none" w:eastAsia="x-none"/>
        </w:rPr>
        <w:commentReference w:id="56"/>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lastRenderedPageBreak/>
        <w:t xml:space="preserve">Dočasný pútač musí byť dostatočne </w:t>
      </w:r>
      <w:commentRangeStart w:id="57"/>
      <w:r w:rsidRPr="00307126">
        <w:rPr>
          <w:rFonts w:ascii="Times New Roman" w:hAnsi="Times New Roman"/>
          <w:lang w:val="pl-PL"/>
        </w:rPr>
        <w:t>veľký</w:t>
      </w:r>
      <w:commentRangeEnd w:id="57"/>
      <w:r w:rsidR="001E6BF9">
        <w:rPr>
          <w:rStyle w:val="Odkaznakomentr"/>
          <w:rFonts w:ascii="Times New Roman" w:eastAsia="Times New Roman" w:hAnsi="Times New Roman"/>
          <w:lang w:val="x-none" w:eastAsia="x-none"/>
        </w:rPr>
        <w:commentReference w:id="57"/>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lastRenderedPageBreak/>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commentRangeStart w:id="58"/>
      <w:r w:rsidRPr="00307126">
        <w:t>Článok 6</w:t>
      </w:r>
      <w:r w:rsidRPr="00307126">
        <w:tab/>
        <w:t>VLASTNÍCTVO A POUŽITIE VÝSTUPOV</w:t>
      </w:r>
      <w:commentRangeEnd w:id="58"/>
      <w:r w:rsidR="00022F7D" w:rsidRPr="00773D77">
        <w:rPr>
          <w:rStyle w:val="Odkaznakomentr"/>
          <w:b w:val="0"/>
          <w:sz w:val="22"/>
        </w:rPr>
        <w:commentReference w:id="58"/>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59"/>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59"/>
      <w:r w:rsidR="0055539C" w:rsidRPr="00307126">
        <w:rPr>
          <w:rStyle w:val="Odkaznakomentr"/>
          <w:rFonts w:ascii="Times New Roman" w:eastAsia="Times New Roman" w:hAnsi="Times New Roman"/>
          <w:sz w:val="22"/>
          <w:szCs w:val="22"/>
          <w:lang w:val="x-none" w:eastAsia="x-none"/>
        </w:rPr>
        <w:commentReference w:id="59"/>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lastRenderedPageBreak/>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60"/>
      <w:r w:rsidRPr="00307126">
        <w:rPr>
          <w:rFonts w:ascii="Times New Roman" w:hAnsi="Times New Roman"/>
          <w:bCs/>
        </w:rPr>
        <w:t>vytvorenie alebo zabezpečenie vytvorenia diela alebo iného práva duševného vlastníctva (vrátane priemyselného vlastníctva) pre Projekt</w:t>
      </w:r>
      <w:commentRangeEnd w:id="60"/>
      <w:r w:rsidR="00EE1A37" w:rsidRPr="00773D77">
        <w:rPr>
          <w:rStyle w:val="Odkaznakomentr"/>
          <w:rFonts w:ascii="Times New Roman" w:hAnsi="Times New Roman"/>
          <w:sz w:val="22"/>
          <w:lang w:val="x-none"/>
        </w:rPr>
        <w:commentReference w:id="60"/>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w:t>
      </w:r>
      <w:r w:rsidRPr="00307126">
        <w:rPr>
          <w:rFonts w:ascii="Times New Roman" w:hAnsi="Times New Roman"/>
          <w:bCs/>
        </w:rPr>
        <w:lastRenderedPageBreak/>
        <w:t xml:space="preserve">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lastRenderedPageBreak/>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61"/>
      <w:r w:rsidR="00867309" w:rsidRPr="00307126">
        <w:rPr>
          <w:rFonts w:ascii="Times New Roman" w:hAnsi="Times New Roman"/>
          <w:bCs/>
        </w:rPr>
        <w:t xml:space="preserve">príslušnej kapitole </w:t>
      </w:r>
      <w:commentRangeEnd w:id="61"/>
      <w:r w:rsidR="00867309" w:rsidRPr="00307126">
        <w:rPr>
          <w:rStyle w:val="Odkaznakomentr"/>
          <w:rFonts w:ascii="Times New Roman" w:eastAsia="Times New Roman" w:hAnsi="Times New Roman"/>
          <w:lang w:val="x-none" w:eastAsia="x-none"/>
        </w:rPr>
        <w:commentReference w:id="61"/>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62"/>
      <w:r w:rsidR="00901F38" w:rsidRPr="00307126">
        <w:rPr>
          <w:rFonts w:ascii="Times New Roman" w:hAnsi="Times New Roman"/>
          <w:lang w:eastAsia="sk-SK"/>
        </w:rPr>
        <w:t>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w:t>
      </w:r>
      <w:commentRangeEnd w:id="62"/>
      <w:r w:rsidR="00A3129A">
        <w:rPr>
          <w:rStyle w:val="Odkaznakomentr"/>
          <w:rFonts w:ascii="Times New Roman" w:eastAsia="Times New Roman" w:hAnsi="Times New Roman"/>
          <w:lang w:val="x-none" w:eastAsia="x-none"/>
        </w:rPr>
        <w:commentReference w:id="62"/>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63"/>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63"/>
      <w:r w:rsidR="00332024" w:rsidRPr="00307126">
        <w:rPr>
          <w:rStyle w:val="Odkaznakomentr"/>
          <w:rFonts w:ascii="Times New Roman" w:eastAsia="Times New Roman" w:hAnsi="Times New Roman"/>
          <w:lang w:val="x-none" w:eastAsia="x-none"/>
        </w:rPr>
        <w:commentReference w:id="63"/>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241A7F15" w:rsidR="00174CB4" w:rsidRPr="00B4192A" w:rsidRDefault="00174CB4" w:rsidP="00B4192A">
      <w:pPr>
        <w:spacing w:before="120"/>
        <w:ind w:left="567"/>
        <w:jc w:val="both"/>
        <w:rPr>
          <w:rFonts w:ascii="Times New Roman" w:hAnsi="Times New Roman"/>
        </w:rPr>
      </w:pPr>
      <w:r w:rsidRPr="00B4192A">
        <w:rPr>
          <w:rFonts w:ascii="Times New Roman" w:hAnsi="Times New Roman"/>
        </w:rPr>
        <w:lastRenderedPageBreak/>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zaslania </w:t>
      </w:r>
      <w:commentRangeStart w:id="64"/>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w:t>
      </w:r>
      <w:commentRangeEnd w:id="64"/>
      <w:r w:rsidR="00332024" w:rsidRPr="00B4192A">
        <w:rPr>
          <w:rStyle w:val="Odkaznakomentr"/>
          <w:rFonts w:ascii="Times New Roman" w:eastAsia="Times New Roman" w:hAnsi="Times New Roman"/>
          <w:sz w:val="22"/>
          <w:szCs w:val="22"/>
          <w:lang w:val="x-none" w:eastAsia="x-none"/>
        </w:rPr>
        <w:commentReference w:id="64"/>
      </w:r>
      <w:r w:rsidR="007A6C01" w:rsidRPr="00B4192A">
        <w:rPr>
          <w:rFonts w:ascii="Times New Roman" w:hAnsi="Times New Roman"/>
        </w:rPr>
        <w:t>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xml:space="preserve">, ktorý </w:t>
      </w:r>
      <w:r w:rsidR="00153FF1" w:rsidRPr="00B4192A">
        <w:rPr>
          <w:rFonts w:ascii="Times New Roman" w:hAnsi="Times New Roman"/>
        </w:rPr>
        <w:t>je</w:t>
      </w:r>
      <w:r w:rsidR="007327BC" w:rsidRPr="00B4192A">
        <w:rPr>
          <w:rFonts w:ascii="Times New Roman" w:hAnsi="Times New Roman"/>
        </w:rPr>
        <w:t xml:space="preserve"> uvedený v</w:t>
      </w:r>
      <w:r w:rsidR="00153FF1" w:rsidRPr="00B4192A">
        <w:rPr>
          <w:rFonts w:ascii="Times New Roman" w:hAnsi="Times New Roman"/>
        </w:rPr>
        <w:t xml:space="preserve"> tabuľke č. 4 prílohy 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Pr="00B4192A">
        <w:rPr>
          <w:rFonts w:ascii="Times New Roman" w:hAnsi="Times New Roman"/>
        </w:rPr>
        <w:t>,</w:t>
      </w:r>
      <w:r w:rsidR="00153FF1" w:rsidRPr="00B4192A">
        <w:rPr>
          <w:rFonts w:ascii="Times New Roman" w:hAnsi="Times New Roman"/>
        </w:rPr>
        <w:t>(prvý deň kalendárneho mesiaca)</w:t>
      </w:r>
      <w:r w:rsidRPr="00B4192A">
        <w:rPr>
          <w:rFonts w:ascii="Times New Roman" w:hAnsi="Times New Roman"/>
        </w:rPr>
        <w:t xml:space="preserve"> a 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770AE7D2"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lastRenderedPageBreak/>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lastRenderedPageBreak/>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w:t>
      </w:r>
      <w:r w:rsidRPr="00307126">
        <w:rPr>
          <w:rFonts w:ascii="Times New Roman" w:hAnsi="Times New Roman"/>
        </w:rPr>
        <w:lastRenderedPageBreak/>
        <w:t xml:space="preserve">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5"/>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commentRangeEnd w:id="65"/>
      <w:r w:rsidR="00A3129A">
        <w:rPr>
          <w:rStyle w:val="Odkaznakomentr"/>
          <w:rFonts w:ascii="Times New Roman" w:eastAsia="Times New Roman" w:hAnsi="Times New Roman"/>
          <w:lang w:val="x-none" w:eastAsia="x-none"/>
        </w:rPr>
        <w:commentReference w:id="65"/>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w:t>
      </w:r>
      <w:r w:rsidRPr="00307126">
        <w:rPr>
          <w:rFonts w:ascii="Times New Roman" w:hAnsi="Times New Roman"/>
          <w:bCs/>
        </w:rPr>
        <w:lastRenderedPageBreak/>
        <w:t xml:space="preserve">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66"/>
      <w:r w:rsidRPr="00307126">
        <w:rPr>
          <w:rFonts w:ascii="Times New Roman" w:hAnsi="Times New Roman"/>
          <w:bCs/>
        </w:rPr>
        <w:t xml:space="preserve">od nadobudnutia účinnosti Zmluvy o poskytnutí NFP </w:t>
      </w:r>
      <w:commentRangeEnd w:id="66"/>
      <w:r w:rsidR="00117A61" w:rsidRPr="00773D77">
        <w:rPr>
          <w:rStyle w:val="Odkaznakomentr"/>
          <w:rFonts w:ascii="Times New Roman" w:hAnsi="Times New Roman"/>
          <w:sz w:val="22"/>
          <w:lang w:val="x-none"/>
        </w:rPr>
        <w:commentReference w:id="66"/>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7"/>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67"/>
      <w:r w:rsidR="003D3D57" w:rsidRPr="00773D77">
        <w:rPr>
          <w:rStyle w:val="Odkaznakomentr"/>
          <w:rFonts w:ascii="Times New Roman" w:hAnsi="Times New Roman"/>
          <w:sz w:val="22"/>
          <w:lang w:val="x-none"/>
        </w:rPr>
        <w:commentReference w:id="67"/>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w:t>
      </w:r>
      <w:r w:rsidRPr="00307126">
        <w:rPr>
          <w:rFonts w:ascii="Times New Roman" w:hAnsi="Times New Roman"/>
          <w:bCs/>
        </w:rPr>
        <w:lastRenderedPageBreak/>
        <w:t xml:space="preserve">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0CA8EB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w:t>
      </w:r>
      <w:r w:rsidRPr="00307126">
        <w:rPr>
          <w:sz w:val="22"/>
          <w:szCs w:val="22"/>
        </w:rPr>
        <w:lastRenderedPageBreak/>
        <w:t xml:space="preserve">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68"/>
      <w:r w:rsidRPr="00307126">
        <w:rPr>
          <w:sz w:val="22"/>
          <w:szCs w:val="22"/>
        </w:rPr>
        <w:t>výnos</w:t>
      </w:r>
      <w:commentRangeEnd w:id="68"/>
      <w:r w:rsidR="00E12B61">
        <w:rPr>
          <w:rStyle w:val="Odkaznakomentr"/>
          <w:rFonts w:eastAsia="Times New Roman"/>
          <w:lang w:val="x-none" w:eastAsia="x-none"/>
        </w:rPr>
        <w:commentReference w:id="68"/>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9"/>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69"/>
      <w:r w:rsidRPr="00307126">
        <w:rPr>
          <w:rStyle w:val="Odkaznakomentr"/>
          <w:sz w:val="22"/>
          <w:szCs w:val="22"/>
        </w:rPr>
        <w:commentReference w:id="69"/>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w:t>
      </w:r>
      <w:r w:rsidRPr="00307126">
        <w:rPr>
          <w:rFonts w:ascii="Times New Roman" w:hAnsi="Times New Roman"/>
          <w:lang w:eastAsia="sk-SK"/>
        </w:rPr>
        <w:lastRenderedPageBreak/>
        <w:t xml:space="preserve">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lastRenderedPageBreak/>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70"/>
      <w:commentRangeStart w:id="71"/>
      <w:r w:rsidRPr="00307126">
        <w:rPr>
          <w:rFonts w:ascii="Times New Roman" w:hAnsi="Times New Roman"/>
          <w:lang w:eastAsia="sk-SK"/>
        </w:rPr>
        <w:t>Pohľadávku</w:t>
      </w:r>
      <w:commentRangeEnd w:id="70"/>
      <w:commentRangeEnd w:id="71"/>
      <w:r w:rsidR="001A6D0E" w:rsidRPr="00BC233D">
        <w:rPr>
          <w:rStyle w:val="Odkaznakomentr"/>
          <w:rFonts w:ascii="Times New Roman" w:eastAsia="Times New Roman" w:hAnsi="Times New Roman"/>
          <w:sz w:val="22"/>
          <w:szCs w:val="22"/>
          <w:lang w:val="x-none" w:eastAsia="x-none"/>
        </w:rPr>
        <w:commentReference w:id="70"/>
      </w:r>
      <w:r w:rsidR="001A6D0E" w:rsidRPr="00307126">
        <w:rPr>
          <w:rStyle w:val="Odkaznakomentr"/>
          <w:rFonts w:ascii="Times New Roman" w:eastAsia="Times New Roman" w:hAnsi="Times New Roman"/>
          <w:sz w:val="22"/>
          <w:szCs w:val="22"/>
          <w:lang w:val="x-none" w:eastAsia="x-none"/>
        </w:rPr>
        <w:commentReference w:id="7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lastRenderedPageBreak/>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 xml:space="preserve">rojektu pri zápisoch v nich, pričom na vedenie tejto evidencie, preukazovanie zápisov a spôsob oceňovania majetku a záväzkov sa primerane použijú ustanovenia zákona č. </w:t>
      </w:r>
      <w:r w:rsidRPr="00307126">
        <w:rPr>
          <w:rFonts w:ascii="Times New Roman" w:hAnsi="Times New Roman"/>
          <w:lang w:eastAsia="sk-SK"/>
        </w:rPr>
        <w:lastRenderedPageBreak/>
        <w:t>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72"/>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72"/>
      <w:r w:rsidR="000A07B0">
        <w:rPr>
          <w:rStyle w:val="Odkaznakomentr"/>
          <w:rFonts w:ascii="Times New Roman" w:eastAsia="Times New Roman" w:hAnsi="Times New Roman"/>
          <w:lang w:val="x-none" w:eastAsia="x-none"/>
        </w:rPr>
        <w:commentReference w:id="72"/>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lastRenderedPageBreak/>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73"/>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73"/>
      <w:r w:rsidRPr="006055EE">
        <w:rPr>
          <w:rStyle w:val="Odkaznakomentr"/>
          <w:sz w:val="22"/>
          <w:szCs w:val="22"/>
          <w:lang w:val="x-none" w:eastAsia="x-none"/>
        </w:rPr>
        <w:commentReference w:id="73"/>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 xml:space="preserve">správy z kontroly/auditu v lehote stanovenej oprávnenými osobami na výkon kontroly/auditu. Prijímateľ je zároveň povinný zaslať osobám oprávneným na výkon </w:t>
      </w:r>
      <w:r w:rsidR="00107570" w:rsidRPr="006055EE">
        <w:rPr>
          <w:sz w:val="22"/>
          <w:szCs w:val="22"/>
        </w:rPr>
        <w:lastRenderedPageBreak/>
        <w:t>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74"/>
      <w:r w:rsidRPr="00307126">
        <w:rPr>
          <w:rFonts w:ascii="Times New Roman" w:hAnsi="Times New Roman"/>
        </w:rPr>
        <w:t>bude povinný zabezpečiť budúcu pohľadávku zo Zmluvy o poskytnutí NFP</w:t>
      </w:r>
      <w:commentRangeEnd w:id="74"/>
      <w:r w:rsidR="00F2106D" w:rsidRPr="00773D77">
        <w:rPr>
          <w:rStyle w:val="Odkaznakomentr"/>
          <w:rFonts w:ascii="Times New Roman" w:hAnsi="Times New Roman"/>
          <w:sz w:val="22"/>
          <w:lang w:val="x-none"/>
        </w:rPr>
        <w:commentReference w:id="74"/>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w:t>
      </w:r>
      <w:r w:rsidRPr="00307126">
        <w:rPr>
          <w:sz w:val="22"/>
          <w:szCs w:val="22"/>
        </w:rPr>
        <w:lastRenderedPageBreak/>
        <w:t>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lastRenderedPageBreak/>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75"/>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75"/>
      <w:r w:rsidR="00F2106D" w:rsidRPr="00773D77">
        <w:rPr>
          <w:rStyle w:val="Odkaznakomentr"/>
          <w:rFonts w:ascii="Times New Roman" w:hAnsi="Times New Roman"/>
          <w:sz w:val="22"/>
          <w:lang w:val="x-none"/>
        </w:rPr>
        <w:commentReference w:id="75"/>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lastRenderedPageBreak/>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76"/>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6"/>
      <w:r w:rsidR="00DC1ADB">
        <w:rPr>
          <w:rStyle w:val="Odkaznakomentr"/>
          <w:rFonts w:ascii="Times New Roman" w:eastAsia="Times New Roman" w:hAnsi="Times New Roman"/>
          <w:lang w:val="x-none" w:eastAsia="x-none"/>
        </w:rPr>
        <w:commentReference w:id="76"/>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7"/>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7"/>
      <w:r w:rsidR="00F2106D" w:rsidRPr="00773D77">
        <w:rPr>
          <w:rStyle w:val="Odkaznakomentr"/>
          <w:rFonts w:ascii="Times New Roman" w:hAnsi="Times New Roman"/>
          <w:sz w:val="22"/>
          <w:lang w:val="x-none"/>
        </w:rPr>
        <w:commentReference w:id="77"/>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lastRenderedPageBreak/>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5F5B08C"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78"/>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78"/>
      <w:r w:rsidR="008B1DAE" w:rsidRPr="00773D77">
        <w:rPr>
          <w:rStyle w:val="Odkaznakomentr"/>
          <w:rFonts w:ascii="Times New Roman" w:hAnsi="Times New Roman"/>
          <w:sz w:val="22"/>
          <w:lang w:val="x-none"/>
        </w:rPr>
        <w:commentReference w:id="78"/>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79"/>
      <w:r w:rsidR="00AC4F7B" w:rsidRPr="00307126">
        <w:rPr>
          <w:rFonts w:ascii="Times New Roman" w:hAnsi="Times New Roman"/>
          <w:lang w:eastAsia="sk-SK"/>
        </w:rPr>
        <w:t>c)</w:t>
      </w:r>
      <w:commentRangeEnd w:id="79"/>
      <w:r w:rsidR="008B1DAE" w:rsidRPr="00773D77">
        <w:rPr>
          <w:rStyle w:val="Odkaznakomentr"/>
          <w:rFonts w:ascii="Times New Roman" w:hAnsi="Times New Roman"/>
          <w:sz w:val="22"/>
          <w:lang w:val="x-none"/>
        </w:rPr>
        <w:commentReference w:id="79"/>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80"/>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80"/>
      <w:r w:rsidR="00AA2FB0" w:rsidRPr="00307126">
        <w:rPr>
          <w:rStyle w:val="Odkaznakomentr"/>
          <w:rFonts w:ascii="Times New Roman" w:eastAsia="Times New Roman" w:hAnsi="Times New Roman"/>
          <w:sz w:val="22"/>
          <w:szCs w:val="22"/>
          <w:lang w:val="x-none" w:eastAsia="x-none"/>
        </w:rPr>
        <w:commentReference w:id="80"/>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81"/>
      <w:r w:rsidRPr="00307126">
        <w:rPr>
          <w:rFonts w:ascii="Times New Roman" w:hAnsi="Times New Roman"/>
        </w:rPr>
        <w:t xml:space="preserve">3 mesiacov </w:t>
      </w:r>
      <w:commentRangeEnd w:id="81"/>
      <w:r w:rsidR="000836FA" w:rsidRPr="00307126">
        <w:rPr>
          <w:rStyle w:val="Odkaznakomentr"/>
          <w:rFonts w:ascii="Times New Roman" w:eastAsia="Times New Roman" w:hAnsi="Times New Roman"/>
          <w:sz w:val="22"/>
          <w:szCs w:val="22"/>
          <w:lang w:val="x-none" w:eastAsia="x-none"/>
        </w:rPr>
        <w:commentReference w:id="81"/>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w:t>
      </w:r>
      <w:r w:rsidRPr="00307126">
        <w:rPr>
          <w:rFonts w:ascii="Times New Roman" w:hAnsi="Times New Roman"/>
          <w:bCs/>
        </w:rPr>
        <w:lastRenderedPageBreak/>
        <w:t xml:space="preserve">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82"/>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82"/>
      <w:r w:rsidR="00C15C8E">
        <w:rPr>
          <w:rStyle w:val="Odkaznakomentr"/>
          <w:rFonts w:ascii="Times New Roman" w:eastAsia="Times New Roman" w:hAnsi="Times New Roman"/>
          <w:lang w:val="x-none" w:eastAsia="x-none"/>
        </w:rPr>
        <w:commentReference w:id="82"/>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83"/>
      <w:r w:rsidRPr="00307126">
        <w:rPr>
          <w:rFonts w:ascii="Times New Roman" w:hAnsi="Times New Roman"/>
          <w:bCs/>
        </w:rPr>
        <w:t>ktorý je nový</w:t>
      </w:r>
      <w:commentRangeEnd w:id="83"/>
      <w:r w:rsidR="00452D64" w:rsidRPr="00773D77">
        <w:rPr>
          <w:rStyle w:val="Odkaznakomentr"/>
          <w:rFonts w:ascii="Times New Roman" w:hAnsi="Times New Roman"/>
          <w:sz w:val="22"/>
          <w:lang w:val="x-none"/>
        </w:rPr>
        <w:commentReference w:id="83"/>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lastRenderedPageBreak/>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9CCB437" w14:textId="77777777" w:rsidR="006F675D" w:rsidRPr="00972C9F" w:rsidRDefault="006F675D">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2" w:author="Autor" w:initials="A">
    <w:p w14:paraId="5D2A609E" w14:textId="77777777" w:rsidR="006F675D" w:rsidRPr="00833664" w:rsidRDefault="006F675D">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6F675D" w:rsidRPr="00833664" w:rsidRDefault="006F675D">
      <w:pPr>
        <w:pStyle w:val="Textkomentra"/>
        <w:rPr>
          <w:lang w:val="sk-SK"/>
        </w:rPr>
      </w:pPr>
    </w:p>
    <w:p w14:paraId="776FA871" w14:textId="77777777" w:rsidR="006F675D" w:rsidRPr="008138ED" w:rsidRDefault="006F675D">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3" w:author="Autor" w:initials="A">
    <w:p w14:paraId="71412907"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 w:author="Autor" w:initials="A">
    <w:p w14:paraId="119DFD1A" w14:textId="0687679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 w:author="Autor" w:initials="A">
    <w:p w14:paraId="203E2362" w14:textId="77777777" w:rsidR="006F675D" w:rsidRPr="003311ED" w:rsidRDefault="006F675D">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6" w:author="Autor" w:initials="A">
    <w:p w14:paraId="75038045" w14:textId="139CD99B" w:rsidR="006F675D" w:rsidRPr="003311ED" w:rsidRDefault="006F675D">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2B6FE8F8" w14:textId="77777777" w:rsidR="006F675D" w:rsidRPr="003311ED" w:rsidRDefault="006F675D"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8" w:author="Autor" w:initials="A">
    <w:p w14:paraId="225CCF41" w14:textId="77777777" w:rsidR="006F675D" w:rsidRPr="009A28F0" w:rsidRDefault="006F675D"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9" w:author="Autor" w:initials="A">
    <w:p w14:paraId="4B5CF474" w14:textId="77777777" w:rsidR="006F675D" w:rsidRPr="003311ED" w:rsidRDefault="006F675D">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0" w:author="Autor" w:initials="A">
    <w:p w14:paraId="59D1C8D0" w14:textId="77777777" w:rsidR="006F675D" w:rsidRPr="003311ED" w:rsidRDefault="006F675D">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1" w:author="Autor" w:initials="A">
    <w:p w14:paraId="625008E9" w14:textId="5301EF31" w:rsidR="006F675D" w:rsidRDefault="006F675D">
      <w:pPr>
        <w:pStyle w:val="Textkomentra"/>
      </w:pPr>
      <w:r>
        <w:rPr>
          <w:rStyle w:val="Odkaznakomentr"/>
        </w:rPr>
        <w:annotationRef/>
      </w:r>
      <w:r w:rsidRPr="00372A72">
        <w:t>Vypustí sa, ak projekt zo svojej podstaty nemôže generovať príjem</w:t>
      </w:r>
    </w:p>
  </w:comment>
  <w:comment w:id="12" w:author="Autor" w:initials="A">
    <w:p w14:paraId="39D3DCD9"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3" w:author="Autor" w:initials="A">
    <w:p w14:paraId="39B440C0" w14:textId="0354BE1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4" w:author="Autor" w:initials="A">
    <w:p w14:paraId="06F7AB11"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5" w:author="Autor" w:initials="A">
    <w:p w14:paraId="46A2CC8C" w14:textId="0CC46A6B"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6" w:author="Autor" w:initials="A">
    <w:p w14:paraId="6E8DF4E4" w14:textId="77777777" w:rsidR="006F675D" w:rsidRDefault="006F675D"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7" w:author="Autor" w:initials="A">
    <w:p w14:paraId="56F8CD75" w14:textId="77777777" w:rsidR="006F675D" w:rsidRDefault="006F675D">
      <w:pPr>
        <w:pStyle w:val="Textkomentra"/>
      </w:pPr>
      <w:r>
        <w:rPr>
          <w:rStyle w:val="Odkaznakomentr"/>
        </w:rPr>
        <w:annotationRef/>
      </w:r>
      <w:r>
        <w:t>Doplní RO</w:t>
      </w:r>
    </w:p>
  </w:comment>
  <w:comment w:id="18" w:author="Autor" w:initials="A">
    <w:p w14:paraId="5D8DA1D5" w14:textId="3C00CEFF" w:rsidR="006F675D" w:rsidRPr="00BC5687" w:rsidRDefault="006F675D"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20" w:author="Autor" w:initials="A">
    <w:p w14:paraId="21EEDA72" w14:textId="77777777" w:rsidR="006F675D" w:rsidRDefault="006F675D"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9" w:author="Autor" w:initials="A">
    <w:p w14:paraId="1139A1D6" w14:textId="20F1C976" w:rsidR="006F675D" w:rsidRDefault="006F675D">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3" w:author="Autor" w:initials="A">
    <w:p w14:paraId="633F1231" w14:textId="77777777" w:rsidR="006F675D" w:rsidRPr="00C00CAF" w:rsidRDefault="006F675D"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21" w:author="Autor" w:initials="A">
    <w:p w14:paraId="13908A15"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2" w:author="Autor" w:initials="A">
    <w:p w14:paraId="05A9C649" w14:textId="650C52D6"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5D2881E2" w14:textId="77777777" w:rsidR="006F675D" w:rsidRDefault="006F675D">
      <w:pPr>
        <w:pStyle w:val="Textkomentra"/>
      </w:pPr>
      <w:r>
        <w:rPr>
          <w:rStyle w:val="Odkaznakomentr"/>
        </w:rPr>
        <w:annotationRef/>
      </w:r>
      <w:r w:rsidRPr="00576235">
        <w:t>Poskytovateľ je povinný dodržať podmienku v zmysle kapitoly 3.5.10, ods. 2 písm. h) Systému riadenia EŠIF.</w:t>
      </w:r>
    </w:p>
  </w:comment>
  <w:comment w:id="25" w:author="Autor" w:initials="A">
    <w:p w14:paraId="516CF7BB"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6" w:author="Autor" w:initials="A">
    <w:p w14:paraId="760BB11C" w14:textId="66334264"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7" w:author="Autor" w:initials="A">
    <w:p w14:paraId="39968299" w14:textId="77777777" w:rsidR="006F675D" w:rsidRDefault="006F675D"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8" w:author="Autor" w:initials="A">
    <w:p w14:paraId="5E1CF222" w14:textId="77777777" w:rsidR="006F675D" w:rsidRDefault="006F675D"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6F675D" w:rsidRPr="0051470D" w:rsidRDefault="006F675D" w:rsidP="002F22D1">
      <w:pPr>
        <w:pStyle w:val="Textkomentra"/>
        <w:rPr>
          <w:lang w:val="sk-SK"/>
        </w:rPr>
      </w:pPr>
    </w:p>
    <w:p w14:paraId="701F04F9" w14:textId="77777777" w:rsidR="006F675D" w:rsidRDefault="006F675D"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6F675D" w:rsidRDefault="006F675D"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9" w:author="Autor" w:initials="A">
    <w:p w14:paraId="73BF31C8" w14:textId="77777777" w:rsidR="006F675D" w:rsidRPr="00696ADB" w:rsidRDefault="006F675D" w:rsidP="00C72A22">
      <w:pPr>
        <w:pStyle w:val="Textkomentra"/>
        <w:rPr>
          <w:lang w:val="sk-SK"/>
        </w:rPr>
      </w:pPr>
      <w:r>
        <w:rPr>
          <w:rStyle w:val="Odkaznakomentr"/>
        </w:rPr>
        <w:annotationRef/>
      </w:r>
      <w:r>
        <w:rPr>
          <w:lang w:val="sk-SK"/>
        </w:rPr>
        <w:t>RO odstráni, ak sa v projekte zjednodušené vykazovanie výdavkov nevyužíva</w:t>
      </w:r>
    </w:p>
  </w:comment>
  <w:comment w:id="30" w:author="Autor" w:initials="A">
    <w:p w14:paraId="5CE94C98" w14:textId="77777777" w:rsidR="006F675D" w:rsidRDefault="006F675D">
      <w:pPr>
        <w:pStyle w:val="Textkomentra"/>
      </w:pPr>
      <w:r>
        <w:rPr>
          <w:rStyle w:val="Odkaznakomentr"/>
        </w:rPr>
        <w:annotationRef/>
      </w:r>
      <w:r>
        <w:t>Všetky chýbajúce údaje doplní RO</w:t>
      </w:r>
    </w:p>
  </w:comment>
  <w:comment w:id="31" w:author="Autor" w:initials="A">
    <w:p w14:paraId="7D2C4526" w14:textId="77777777" w:rsidR="006F675D" w:rsidRDefault="006F675D"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32" w:author="Autor" w:initials="A">
    <w:p w14:paraId="2665AC28" w14:textId="77777777" w:rsidR="006F675D" w:rsidRPr="005F6D2D" w:rsidRDefault="006F675D"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33" w:author="Autor" w:initials="A">
    <w:p w14:paraId="258A3CFF" w14:textId="77777777" w:rsidR="006F675D" w:rsidRDefault="006F675D">
      <w:pPr>
        <w:pStyle w:val="Textkomentra"/>
      </w:pPr>
      <w:r>
        <w:rPr>
          <w:rStyle w:val="Odkaznakomentr"/>
        </w:rPr>
        <w:annotationRef/>
      </w:r>
      <w:r w:rsidRPr="00BD2AA7">
        <w:t>Napríklad kópia pozvánky na posledné školenie spolu s kópiou prezenčnej listiny účastníkov.</w:t>
      </w:r>
      <w:r>
        <w:t xml:space="preserve"> </w:t>
      </w:r>
    </w:p>
  </w:comment>
  <w:comment w:id="34" w:author="Autor" w:initials="A">
    <w:p w14:paraId="4352BA89" w14:textId="77777777" w:rsidR="006F675D" w:rsidRDefault="006F675D"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5" w:author="Autor" w:initials="A">
    <w:p w14:paraId="2C2E970A" w14:textId="77777777" w:rsidR="006F675D" w:rsidRDefault="006F675D" w:rsidP="00BA4EC8">
      <w:pPr>
        <w:pStyle w:val="Textkomentra"/>
      </w:pPr>
      <w:r>
        <w:rPr>
          <w:rStyle w:val="Odkaznakomentr"/>
        </w:rPr>
        <w:annotationRef/>
      </w:r>
      <w:r>
        <w:t>Koncesie, odkaz na web, práce chýbajú, ak neprišla ani jedna ponuky</w:t>
      </w:r>
    </w:p>
  </w:comment>
  <w:comment w:id="36" w:author="Autor" w:initials="A">
    <w:p w14:paraId="0F7D11E2" w14:textId="159331A8" w:rsidR="006F675D" w:rsidRPr="00335ACA" w:rsidRDefault="006F675D">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7" w:author="Autor" w:initials="A">
    <w:p w14:paraId="56432141"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8" w:author="Autor" w:initials="A">
    <w:p w14:paraId="57CAE093" w14:textId="24D2D295"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9" w:author="Autor" w:initials="A">
    <w:p w14:paraId="2B5F801C" w14:textId="3F3A7E3F" w:rsidR="006F675D" w:rsidRPr="00E47083" w:rsidRDefault="006F675D">
      <w:pPr>
        <w:pStyle w:val="Textkomentra"/>
        <w:rPr>
          <w:lang w:val="sk-SK"/>
        </w:rPr>
      </w:pPr>
      <w:r>
        <w:rPr>
          <w:rStyle w:val="Odkaznakomentr"/>
        </w:rPr>
        <w:annotationRef/>
      </w:r>
      <w:r w:rsidRPr="008C3850">
        <w:rPr>
          <w:lang w:val="sk-SK"/>
        </w:rPr>
        <w:t>Vypustí sa ak nie je relevantné</w:t>
      </w:r>
    </w:p>
  </w:comment>
  <w:comment w:id="41" w:author="Autor" w:initials="A">
    <w:p w14:paraId="1D165A32" w14:textId="77777777" w:rsidR="006F675D" w:rsidRDefault="006F675D">
      <w:pPr>
        <w:pStyle w:val="Textkomentra"/>
      </w:pPr>
      <w:r>
        <w:rPr>
          <w:rStyle w:val="Odkaznakomentr"/>
        </w:rPr>
        <w:annotationRef/>
      </w:r>
      <w:r>
        <w:t>Alebo troch rokov, ak sú na skrátenie lehoty splnené podmienky.</w:t>
      </w:r>
    </w:p>
  </w:comment>
  <w:comment w:id="40" w:author="Autor" w:initials="A">
    <w:p w14:paraId="7D8EEE20" w14:textId="77777777" w:rsidR="006F675D" w:rsidRPr="00685086" w:rsidRDefault="006F675D">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42" w:author="Autor" w:initials="A">
    <w:p w14:paraId="6F524A24" w14:textId="77777777" w:rsidR="006F675D" w:rsidRDefault="006F675D">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43" w:author="Autor" w:initials="A">
    <w:p w14:paraId="42F3457B" w14:textId="77777777" w:rsidR="006F675D" w:rsidRPr="000E1967" w:rsidRDefault="006F675D">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44" w:author="Autor" w:initials="A">
    <w:p w14:paraId="2FE7E065" w14:textId="77777777" w:rsidR="006F675D" w:rsidRDefault="006F675D"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403F1DB4" w14:textId="50635C4E" w:rsidR="006F675D" w:rsidRDefault="006F675D">
      <w:pPr>
        <w:pStyle w:val="Textkomentra"/>
      </w:pPr>
    </w:p>
  </w:comment>
  <w:comment w:id="45" w:author="Autor" w:initials="A">
    <w:p w14:paraId="11C19D3E" w14:textId="39F09095" w:rsidR="006F675D" w:rsidRDefault="006F675D">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46" w:author="Autor" w:initials="A">
    <w:p w14:paraId="19115B95" w14:textId="77777777" w:rsidR="006F675D" w:rsidRPr="000E2BE6" w:rsidRDefault="006F675D"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47" w:author="Autor" w:initials="A">
    <w:p w14:paraId="7D0B534B" w14:textId="23A3D689" w:rsidR="006F675D" w:rsidRPr="00EF4107" w:rsidRDefault="006F675D">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8" w:author="Autor" w:initials="A">
    <w:p w14:paraId="5BD797D3" w14:textId="77777777" w:rsidR="006F675D" w:rsidRPr="00BF3F38" w:rsidRDefault="006F675D">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49" w:author="Autor" w:initials="A">
    <w:p w14:paraId="78E86446" w14:textId="35EFF233" w:rsidR="006F675D" w:rsidRPr="00D73FAF" w:rsidRDefault="006F675D">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50" w:author="Autor" w:initials="A">
    <w:p w14:paraId="065BBD7B" w14:textId="77777777" w:rsidR="006F675D" w:rsidRPr="00F8306F" w:rsidRDefault="006F675D"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51" w:author="Autor" w:initials="A">
    <w:p w14:paraId="0880C877" w14:textId="619ED916" w:rsidR="006F675D" w:rsidRDefault="006F675D">
      <w:pPr>
        <w:pStyle w:val="Textkomentra"/>
      </w:pPr>
      <w:r>
        <w:rPr>
          <w:rStyle w:val="Odkaznakomentr"/>
        </w:rPr>
        <w:annotationRef/>
      </w:r>
      <w:r>
        <w:rPr>
          <w:lang w:val="sk-SK"/>
        </w:rPr>
        <w:t xml:space="preserve">Relevantné pre projekty ESF (vrátane IZM).  </w:t>
      </w:r>
    </w:p>
  </w:comment>
  <w:comment w:id="52" w:author="Autor" w:initials="A">
    <w:p w14:paraId="4F973A39" w14:textId="77777777" w:rsidR="006F675D" w:rsidRPr="00DA6CAD" w:rsidRDefault="006F675D"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53" w:author="Autor" w:initials="A">
    <w:p w14:paraId="77A17100" w14:textId="77777777" w:rsidR="006F675D" w:rsidRPr="00161823" w:rsidRDefault="006F675D"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54" w:author="Autor" w:initials="A">
    <w:p w14:paraId="33F99FC8"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5" w:author="Autor" w:initials="A">
    <w:p w14:paraId="0778F41B" w14:textId="46E56BC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6" w:author="Autor" w:initials="A">
    <w:p w14:paraId="463960E3" w14:textId="77777777" w:rsidR="006F675D" w:rsidRDefault="006F675D"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57" w:author="Autor" w:initials="A">
    <w:p w14:paraId="7C52490C" w14:textId="3E5DBC8D" w:rsidR="006F675D" w:rsidRPr="001E6BF9" w:rsidRDefault="006F675D">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58" w:author="Autor" w:initials="A">
    <w:p w14:paraId="2246BD55" w14:textId="77777777" w:rsidR="006F675D" w:rsidRDefault="006F675D">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59" w:author="Autor" w:initials="A">
    <w:p w14:paraId="0EDA29B1" w14:textId="77777777" w:rsidR="006F675D" w:rsidRDefault="006F675D">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60" w:author="Autor" w:initials="A">
    <w:p w14:paraId="627E2D89" w14:textId="77777777" w:rsidR="006F675D" w:rsidRDefault="006F675D">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61" w:author="Autor" w:initials="A">
    <w:p w14:paraId="67FC44C6" w14:textId="6DECCF32" w:rsidR="006F675D" w:rsidRDefault="006F675D">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62" w:author="Autor" w:initials="A">
    <w:p w14:paraId="07ACAF60" w14:textId="7773730A" w:rsidR="006F675D" w:rsidRPr="00A3129A" w:rsidRDefault="006F675D">
      <w:pPr>
        <w:pStyle w:val="Textkomentra"/>
        <w:rPr>
          <w:lang w:val="sk-SK"/>
        </w:rPr>
      </w:pPr>
      <w:r>
        <w:rPr>
          <w:rStyle w:val="Odkaznakomentr"/>
        </w:rPr>
        <w:annotationRef/>
      </w:r>
      <w:r>
        <w:rPr>
          <w:lang w:val="sk-SK"/>
        </w:rPr>
        <w:t>V prípade vypustenia zmeny v termíne Ukončenia realizácie hlavných aktivít Projektu z významnejších zmien podľa článku 6 ods. 6.3 písmeno f), resp. zo zmien ako takých  (odsek 6.9 zmluvy), sa vyznačený text nahradí týmto novým textom: „</w:t>
      </w:r>
      <w:r w:rsidRPr="00A3129A">
        <w:rPr>
          <w:i/>
          <w:lang w:val="sk-SK"/>
        </w:rPr>
        <w:t>postupovať podľa článku 4 ods. 6 VZP.</w:t>
      </w:r>
      <w:r>
        <w:rPr>
          <w:lang w:val="sk-SK"/>
        </w:rPr>
        <w:t>“</w:t>
      </w:r>
    </w:p>
  </w:comment>
  <w:comment w:id="63" w:author="Autor" w:initials="A">
    <w:p w14:paraId="4CBB43F2" w14:textId="3F01D58E" w:rsidR="006F675D" w:rsidRPr="00332024" w:rsidRDefault="006F675D">
      <w:pPr>
        <w:pStyle w:val="Textkomentra"/>
        <w:rPr>
          <w:lang w:val="sk-SK"/>
        </w:rPr>
      </w:pPr>
      <w:r>
        <w:rPr>
          <w:rStyle w:val="Odkaznakomentr"/>
        </w:rPr>
        <w:annotationRef/>
      </w:r>
      <w:r>
        <w:rPr>
          <w:lang w:val="sk-SK"/>
        </w:rPr>
        <w:t>U</w:t>
      </w:r>
      <w:r w:rsidRPr="001D238C">
        <w:rPr>
          <w:lang w:val="sk-SK"/>
        </w:rPr>
        <w:t>pozorňuje sa na vecné prepojenie s článkom 6 ods. 6.8 zmluvy</w:t>
      </w:r>
      <w:r>
        <w:rPr>
          <w:lang w:val="sk-SK"/>
        </w:rPr>
        <w:t>.</w:t>
      </w:r>
    </w:p>
  </w:comment>
  <w:comment w:id="64" w:author="Autor" w:initials="A">
    <w:p w14:paraId="4E86DD36" w14:textId="76211BE8" w:rsidR="006F675D" w:rsidRPr="00332024" w:rsidRDefault="006F675D">
      <w:pPr>
        <w:pStyle w:val="Textkomentra"/>
        <w:rPr>
          <w:lang w:val="sk-SK"/>
        </w:rPr>
      </w:pPr>
      <w:r>
        <w:rPr>
          <w:rStyle w:val="Odkaznakomentr"/>
        </w:rPr>
        <w:annotationRef/>
      </w:r>
      <w:r w:rsidRPr="001D238C">
        <w:rPr>
          <w:lang w:val="sk-SK"/>
        </w:rPr>
        <w:t>Upozorňuje sa na vecné prepojenie s článkom 6 ods. 6.8 zmluvy.</w:t>
      </w:r>
    </w:p>
  </w:comment>
  <w:comment w:id="65" w:author="Autor" w:initials="A">
    <w:p w14:paraId="7CAF837B" w14:textId="3EC35DA8" w:rsidR="006F675D" w:rsidRPr="00AC240F" w:rsidRDefault="006F675D">
      <w:pPr>
        <w:pStyle w:val="Textkomentra"/>
        <w:rPr>
          <w:lang w:val="sk-SK"/>
        </w:rPr>
      </w:pPr>
      <w:r>
        <w:rPr>
          <w:rStyle w:val="Odkaznakomentr"/>
        </w:rPr>
        <w:annotationRef/>
      </w:r>
      <w:r>
        <w:t xml:space="preserve">V prípade, ak sa poskytovateľ rozhodol vypustiť </w:t>
      </w:r>
      <w:r>
        <w:rPr>
          <w:lang w:val="sk-SK"/>
        </w:rPr>
        <w:t xml:space="preserve">zmenu uvedenú v písmene f) v článku 6 </w:t>
      </w:r>
      <w:r>
        <w:t xml:space="preserve">odsek 6.3 </w:t>
      </w:r>
      <w:r>
        <w:rPr>
          <w:lang w:val="sk-SK"/>
        </w:rPr>
        <w:t xml:space="preserve">zmluvy </w:t>
      </w:r>
      <w:r>
        <w:t xml:space="preserve">v zmysle tam uvedeného komentára, pretože nemá stanovenú časovú podmienku poskytnutia príspevku, ktorá limituje dobu RHAP na určitý obmedzený čas (napr. xx mesiacov), </w:t>
      </w:r>
      <w:r>
        <w:rPr>
          <w:lang w:val="sk-SK"/>
        </w:rPr>
        <w:t>vyznačený text sa nahradí výrazom „</w:t>
      </w:r>
      <w:r w:rsidRPr="00AC240F">
        <w:rPr>
          <w:i/>
          <w:lang w:val="sk-SK"/>
        </w:rPr>
        <w:t>neuplatňuje sa</w:t>
      </w:r>
      <w:r>
        <w:rPr>
          <w:lang w:val="sk-SK"/>
        </w:rPr>
        <w:t xml:space="preserve">“, aby nedošlo k posunutiu písmen kvôli krížovým odkazom. </w:t>
      </w:r>
    </w:p>
  </w:comment>
  <w:comment w:id="66" w:author="Autor" w:initials="A">
    <w:p w14:paraId="1DA5D07D" w14:textId="77777777" w:rsidR="006F675D" w:rsidRDefault="006F675D">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67" w:author="Autor" w:initials="A">
    <w:p w14:paraId="7D3C1E94" w14:textId="77777777" w:rsidR="006F675D" w:rsidRDefault="006F675D">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68" w:author="Autor" w:initials="A">
    <w:p w14:paraId="6F28E2AA" w14:textId="3DF345B5" w:rsidR="006F675D" w:rsidRDefault="006F675D">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69" w:author="Autor" w:initials="A">
    <w:p w14:paraId="066E0570" w14:textId="77777777" w:rsidR="006F675D" w:rsidRDefault="006F675D" w:rsidP="00A91910">
      <w:pPr>
        <w:pStyle w:val="Textkomentra"/>
      </w:pPr>
      <w:r>
        <w:rPr>
          <w:rStyle w:val="Odkaznakomentr"/>
        </w:rPr>
        <w:annotationRef/>
      </w:r>
    </w:p>
    <w:p w14:paraId="45D33BEE" w14:textId="77777777" w:rsidR="006F675D" w:rsidRDefault="006F675D" w:rsidP="00A91910">
      <w:pPr>
        <w:pStyle w:val="Textkomentra"/>
      </w:pPr>
      <w:r>
        <w:t xml:space="preserve">Previazanosť na čl. 6.6 zmluvy. </w:t>
      </w:r>
    </w:p>
    <w:p w14:paraId="53AEF3AC" w14:textId="77777777" w:rsidR="006F675D" w:rsidRDefault="006F675D" w:rsidP="00A91910">
      <w:pPr>
        <w:pStyle w:val="Textkomentra"/>
      </w:pPr>
    </w:p>
    <w:p w14:paraId="79C701FF" w14:textId="77777777" w:rsidR="006F675D" w:rsidRPr="00424388" w:rsidRDefault="006F675D"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6F675D" w:rsidRDefault="006F675D" w:rsidP="00A91910">
      <w:pPr>
        <w:pStyle w:val="Textkomentra"/>
      </w:pPr>
    </w:p>
    <w:p w14:paraId="5BA0B544" w14:textId="77777777" w:rsidR="006F675D" w:rsidRDefault="006F675D"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6F675D" w:rsidRDefault="006F675D" w:rsidP="00A91910">
      <w:pPr>
        <w:pStyle w:val="Textkomentra"/>
        <w:ind w:left="360"/>
      </w:pPr>
      <w:r>
        <w:t xml:space="preserve"> </w:t>
      </w:r>
    </w:p>
    <w:p w14:paraId="02E1E19B" w14:textId="77777777" w:rsidR="006F675D" w:rsidRDefault="006F675D"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6F675D" w:rsidRDefault="006F675D" w:rsidP="00A91910">
      <w:pPr>
        <w:pStyle w:val="Textkomentra"/>
      </w:pPr>
    </w:p>
    <w:p w14:paraId="346EF514" w14:textId="77777777" w:rsidR="006F675D" w:rsidRDefault="006F675D"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70" w:author="Autor" w:initials="A">
    <w:p w14:paraId="3AC811D9" w14:textId="77777777" w:rsidR="006F675D" w:rsidRPr="001A6D0E" w:rsidRDefault="006F675D">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71" w:author="Autor" w:initials="A">
    <w:p w14:paraId="1FBCD9A8" w14:textId="3C440469" w:rsidR="006F675D" w:rsidRPr="001A6D0E" w:rsidRDefault="006F675D">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72" w:author="Autor" w:initials="A">
    <w:p w14:paraId="0F7F1C49" w14:textId="0198E24F" w:rsidR="006F675D" w:rsidRPr="000A07B0" w:rsidRDefault="006F675D">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73" w:author="Autor" w:initials="A">
    <w:p w14:paraId="2AF6D042" w14:textId="77777777" w:rsidR="006F675D" w:rsidRPr="005E2851" w:rsidRDefault="006F675D">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74" w:author="Autor" w:initials="A">
    <w:p w14:paraId="59A03FBA" w14:textId="77777777" w:rsidR="006F675D" w:rsidRDefault="006F675D">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75" w:author="Autor" w:initials="A">
    <w:p w14:paraId="73B9B4E8" w14:textId="77777777" w:rsidR="006F675D" w:rsidRPr="003311ED" w:rsidRDefault="006F675D">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76" w:author="Autor" w:initials="A">
    <w:p w14:paraId="5A768CAC" w14:textId="3C2D416B" w:rsidR="006F675D" w:rsidRDefault="006F675D">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7" w:author="Autor" w:initials="A">
    <w:p w14:paraId="365E2F87" w14:textId="77777777" w:rsidR="006F675D" w:rsidRPr="00AA2FB0" w:rsidRDefault="006F675D">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8" w:author="Autor" w:initials="A">
    <w:p w14:paraId="565222A3" w14:textId="77777777" w:rsidR="006F675D" w:rsidRDefault="006F675D">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9" w:author="Autor" w:initials="A">
    <w:p w14:paraId="2807A3D4" w14:textId="77777777" w:rsidR="006F675D" w:rsidRDefault="006F675D">
      <w:pPr>
        <w:pStyle w:val="Textkomentra"/>
      </w:pPr>
      <w:r>
        <w:rPr>
          <w:rStyle w:val="Odkaznakomentr"/>
        </w:rPr>
        <w:annotationRef/>
      </w:r>
      <w:r>
        <w:t xml:space="preserve">Upraví sa podľa toho, či ide o PGP projekt alebo nie (písm. c) bude zamenené za písm. b). </w:t>
      </w:r>
    </w:p>
  </w:comment>
  <w:comment w:id="80" w:author="Autor" w:initials="A">
    <w:p w14:paraId="4824C2F9" w14:textId="77777777" w:rsidR="006F675D" w:rsidRPr="00AA2FB0" w:rsidRDefault="006F675D">
      <w:pPr>
        <w:pStyle w:val="Textkomentra"/>
        <w:rPr>
          <w:lang w:val="sk-SK"/>
        </w:rPr>
      </w:pPr>
      <w:r>
        <w:rPr>
          <w:rStyle w:val="Odkaznakomentr"/>
        </w:rPr>
        <w:annotationRef/>
      </w:r>
      <w:r w:rsidRPr="00127E9E">
        <w:rPr>
          <w:lang w:val="sk-SK"/>
        </w:rPr>
        <w:t>Zosúladenie s písm a) pre časovú oprávnenosť IZM</w:t>
      </w:r>
    </w:p>
  </w:comment>
  <w:comment w:id="81" w:author="Autor" w:initials="A">
    <w:p w14:paraId="4558A4D2" w14:textId="77777777" w:rsidR="006F675D" w:rsidRPr="000836FA" w:rsidRDefault="006F675D">
      <w:pPr>
        <w:pStyle w:val="Textkomentra"/>
        <w:rPr>
          <w:lang w:val="sk-SK"/>
        </w:rPr>
      </w:pPr>
      <w:r>
        <w:rPr>
          <w:rStyle w:val="Odkaznakomentr"/>
        </w:rPr>
        <w:annotationRef/>
      </w:r>
      <w:r w:rsidRPr="00127E9E">
        <w:rPr>
          <w:lang w:val="sk-SK"/>
        </w:rPr>
        <w:t>Upozorňuje sa na prepojenie s článkom 5 ods. 5.1 zmluvy</w:t>
      </w:r>
    </w:p>
  </w:comment>
  <w:comment w:id="82" w:author="Autor" w:initials="A">
    <w:p w14:paraId="21CA2AAD" w14:textId="55D196F7" w:rsidR="006F675D" w:rsidRDefault="006F675D">
      <w:pPr>
        <w:pStyle w:val="Textkomentra"/>
      </w:pPr>
      <w:r>
        <w:rPr>
          <w:rStyle w:val="Odkaznakomentr"/>
        </w:rPr>
        <w:annotationRef/>
      </w:r>
      <w:r>
        <w:rPr>
          <w:lang w:val="sk-SK"/>
        </w:rPr>
        <w:t>Odstráni sa pre projekty, v ktorých sa zjednodušené vykazovanie výdavkov neaplikuje.</w:t>
      </w:r>
    </w:p>
  </w:comment>
  <w:comment w:id="83" w:author="Autor" w:initials="A">
    <w:p w14:paraId="74B7E85F" w14:textId="77777777" w:rsidR="006F675D" w:rsidRPr="0051470D" w:rsidRDefault="006F675D">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4CBB43F2" w15:done="0"/>
  <w15:commentEx w15:paraId="4E86DD36"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2807A3D4"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39EC6" w14:textId="77777777" w:rsidR="000A398C" w:rsidRDefault="000A398C" w:rsidP="00107570">
      <w:pPr>
        <w:spacing w:after="0" w:line="240" w:lineRule="auto"/>
      </w:pPr>
      <w:r>
        <w:separator/>
      </w:r>
    </w:p>
  </w:endnote>
  <w:endnote w:type="continuationSeparator" w:id="0">
    <w:p w14:paraId="6202836D" w14:textId="77777777" w:rsidR="000A398C" w:rsidRDefault="000A398C" w:rsidP="00107570">
      <w:pPr>
        <w:spacing w:after="0" w:line="240" w:lineRule="auto"/>
      </w:pPr>
      <w:r>
        <w:continuationSeparator/>
      </w:r>
    </w:p>
  </w:endnote>
  <w:endnote w:type="continuationNotice" w:id="1">
    <w:p w14:paraId="5AD0C9C4" w14:textId="77777777" w:rsidR="000A398C" w:rsidRDefault="000A39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0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396E3B7" w:rsidR="006F675D" w:rsidRDefault="006F675D"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7619ED">
              <w:rPr>
                <w:b/>
                <w:bCs/>
                <w:noProof/>
              </w:rPr>
              <w:t>60</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7619ED">
              <w:rPr>
                <w:b/>
                <w:bCs/>
                <w:noProof/>
              </w:rPr>
              <w:t>60</w:t>
            </w:r>
            <w:r>
              <w:rPr>
                <w:b/>
                <w:bCs/>
              </w:rPr>
              <w:fldChar w:fldCharType="end"/>
            </w:r>
          </w:p>
        </w:sdtContent>
      </w:sdt>
    </w:sdtContent>
  </w:sdt>
  <w:p w14:paraId="70C0ABD5" w14:textId="77777777" w:rsidR="006F675D" w:rsidRPr="004405B8" w:rsidRDefault="006F675D"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E55D1" w14:textId="77777777" w:rsidR="000A398C" w:rsidRDefault="000A398C" w:rsidP="00107570">
      <w:pPr>
        <w:spacing w:after="0" w:line="240" w:lineRule="auto"/>
      </w:pPr>
      <w:r>
        <w:separator/>
      </w:r>
    </w:p>
  </w:footnote>
  <w:footnote w:type="continuationSeparator" w:id="0">
    <w:p w14:paraId="06D04561" w14:textId="77777777" w:rsidR="000A398C" w:rsidRDefault="000A398C" w:rsidP="00107570">
      <w:pPr>
        <w:spacing w:after="0" w:line="240" w:lineRule="auto"/>
      </w:pPr>
      <w:r>
        <w:continuationSeparator/>
      </w:r>
    </w:p>
  </w:footnote>
  <w:footnote w:type="continuationNotice" w:id="1">
    <w:p w14:paraId="1507C731" w14:textId="77777777" w:rsidR="000A398C" w:rsidRDefault="000A398C">
      <w:pPr>
        <w:spacing w:after="0" w:line="240" w:lineRule="auto"/>
      </w:pPr>
    </w:p>
  </w:footnote>
  <w:footnote w:id="2">
    <w:p w14:paraId="3D556CC4" w14:textId="77777777" w:rsidR="006F675D" w:rsidRDefault="006F675D"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1"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49"/>
  </w:num>
  <w:num w:numId="5">
    <w:abstractNumId w:val="3"/>
  </w:num>
  <w:num w:numId="6">
    <w:abstractNumId w:val="39"/>
  </w:num>
  <w:num w:numId="7">
    <w:abstractNumId w:val="43"/>
  </w:num>
  <w:num w:numId="8">
    <w:abstractNumId w:val="53"/>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1"/>
  </w:num>
  <w:num w:numId="20">
    <w:abstractNumId w:val="48"/>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2"/>
  </w:num>
  <w:num w:numId="31">
    <w:abstractNumId w:val="34"/>
  </w:num>
  <w:num w:numId="32">
    <w:abstractNumId w:val="46"/>
  </w:num>
  <w:num w:numId="33">
    <w:abstractNumId w:val="45"/>
  </w:num>
  <w:num w:numId="34">
    <w:abstractNumId w:val="41"/>
  </w:num>
  <w:num w:numId="35">
    <w:abstractNumId w:val="37"/>
  </w:num>
  <w:num w:numId="36">
    <w:abstractNumId w:val="42"/>
  </w:num>
  <w:num w:numId="37">
    <w:abstractNumId w:val="21"/>
  </w:num>
  <w:num w:numId="38">
    <w:abstractNumId w:val="20"/>
  </w:num>
  <w:num w:numId="39">
    <w:abstractNumId w:val="8"/>
  </w:num>
  <w:num w:numId="40">
    <w:abstractNumId w:val="47"/>
  </w:num>
  <w:num w:numId="41">
    <w:abstractNumId w:val="54"/>
  </w:num>
  <w:num w:numId="42">
    <w:abstractNumId w:val="44"/>
  </w:num>
  <w:num w:numId="43">
    <w:abstractNumId w:val="40"/>
  </w:num>
  <w:num w:numId="44">
    <w:abstractNumId w:val="50"/>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AB3"/>
    <w:rsid w:val="00036C55"/>
    <w:rsid w:val="0003793C"/>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34F7"/>
    <w:rsid w:val="000A398C"/>
    <w:rsid w:val="000A5604"/>
    <w:rsid w:val="000A5C51"/>
    <w:rsid w:val="000A5D55"/>
    <w:rsid w:val="000A717C"/>
    <w:rsid w:val="000B128B"/>
    <w:rsid w:val="000B1CB0"/>
    <w:rsid w:val="000B20A9"/>
    <w:rsid w:val="000B2E62"/>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6D6"/>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17D50"/>
    <w:rsid w:val="00220F6A"/>
    <w:rsid w:val="0022209B"/>
    <w:rsid w:val="002225AC"/>
    <w:rsid w:val="00222A7E"/>
    <w:rsid w:val="00222AC7"/>
    <w:rsid w:val="002238CE"/>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335"/>
    <w:rsid w:val="002966B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7BF6"/>
    <w:rsid w:val="002E0CDD"/>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99D"/>
    <w:rsid w:val="003556C5"/>
    <w:rsid w:val="00355838"/>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A268C"/>
    <w:rsid w:val="003A58E3"/>
    <w:rsid w:val="003A5C86"/>
    <w:rsid w:val="003A7B0B"/>
    <w:rsid w:val="003B256A"/>
    <w:rsid w:val="003B3653"/>
    <w:rsid w:val="003B3F1A"/>
    <w:rsid w:val="003B3F46"/>
    <w:rsid w:val="003B4088"/>
    <w:rsid w:val="003B557F"/>
    <w:rsid w:val="003B5B37"/>
    <w:rsid w:val="003C0265"/>
    <w:rsid w:val="003C0DAD"/>
    <w:rsid w:val="003C0F18"/>
    <w:rsid w:val="003C6060"/>
    <w:rsid w:val="003C6154"/>
    <w:rsid w:val="003C688F"/>
    <w:rsid w:val="003D03CA"/>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4023"/>
    <w:rsid w:val="004167D9"/>
    <w:rsid w:val="00417284"/>
    <w:rsid w:val="004209D2"/>
    <w:rsid w:val="00421105"/>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C24"/>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12A2"/>
    <w:rsid w:val="005A515C"/>
    <w:rsid w:val="005A5280"/>
    <w:rsid w:val="005A6833"/>
    <w:rsid w:val="005B0DFF"/>
    <w:rsid w:val="005B1847"/>
    <w:rsid w:val="005B204A"/>
    <w:rsid w:val="005B34D7"/>
    <w:rsid w:val="005B3FBA"/>
    <w:rsid w:val="005B4F5F"/>
    <w:rsid w:val="005B520C"/>
    <w:rsid w:val="005B7C7A"/>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59AC"/>
    <w:rsid w:val="0067087C"/>
    <w:rsid w:val="0067091C"/>
    <w:rsid w:val="00670D6E"/>
    <w:rsid w:val="0067212A"/>
    <w:rsid w:val="00672E64"/>
    <w:rsid w:val="00674103"/>
    <w:rsid w:val="006768C4"/>
    <w:rsid w:val="006807C9"/>
    <w:rsid w:val="00682D9C"/>
    <w:rsid w:val="0068313D"/>
    <w:rsid w:val="006839FF"/>
    <w:rsid w:val="0068508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1EB8"/>
    <w:rsid w:val="007A2554"/>
    <w:rsid w:val="007A40EE"/>
    <w:rsid w:val="007A6408"/>
    <w:rsid w:val="007A6C01"/>
    <w:rsid w:val="007A702F"/>
    <w:rsid w:val="007A714C"/>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7230"/>
    <w:rsid w:val="007E741F"/>
    <w:rsid w:val="007E788B"/>
    <w:rsid w:val="007F1552"/>
    <w:rsid w:val="007F4993"/>
    <w:rsid w:val="007F60B1"/>
    <w:rsid w:val="007F6C8D"/>
    <w:rsid w:val="007F7750"/>
    <w:rsid w:val="007F7975"/>
    <w:rsid w:val="00802E8F"/>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4792"/>
    <w:rsid w:val="008D54FD"/>
    <w:rsid w:val="008D5B71"/>
    <w:rsid w:val="008D5F57"/>
    <w:rsid w:val="008D6500"/>
    <w:rsid w:val="008E04BF"/>
    <w:rsid w:val="008E0529"/>
    <w:rsid w:val="008E1CEE"/>
    <w:rsid w:val="008E3D1F"/>
    <w:rsid w:val="008E4379"/>
    <w:rsid w:val="008E4C8B"/>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5777"/>
    <w:rsid w:val="009A0837"/>
    <w:rsid w:val="009A0EB4"/>
    <w:rsid w:val="009A259D"/>
    <w:rsid w:val="009A28F0"/>
    <w:rsid w:val="009A3620"/>
    <w:rsid w:val="009A40D1"/>
    <w:rsid w:val="009A4BEE"/>
    <w:rsid w:val="009A699C"/>
    <w:rsid w:val="009A6C12"/>
    <w:rsid w:val="009B4D85"/>
    <w:rsid w:val="009B4DCF"/>
    <w:rsid w:val="009B6C88"/>
    <w:rsid w:val="009B7A15"/>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30D3"/>
    <w:rsid w:val="009D5143"/>
    <w:rsid w:val="009D7028"/>
    <w:rsid w:val="009D7992"/>
    <w:rsid w:val="009E005A"/>
    <w:rsid w:val="009E0A96"/>
    <w:rsid w:val="009E0CFE"/>
    <w:rsid w:val="009E11A9"/>
    <w:rsid w:val="009E126A"/>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5630"/>
    <w:rsid w:val="00BD70E4"/>
    <w:rsid w:val="00BE43E5"/>
    <w:rsid w:val="00BE4873"/>
    <w:rsid w:val="00BE4FAD"/>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3048F"/>
    <w:rsid w:val="00C315BD"/>
    <w:rsid w:val="00C31810"/>
    <w:rsid w:val="00C33E80"/>
    <w:rsid w:val="00C3536D"/>
    <w:rsid w:val="00C355BB"/>
    <w:rsid w:val="00C3784C"/>
    <w:rsid w:val="00C41E05"/>
    <w:rsid w:val="00C421C2"/>
    <w:rsid w:val="00C4332B"/>
    <w:rsid w:val="00C45C3C"/>
    <w:rsid w:val="00C47148"/>
    <w:rsid w:val="00C5019B"/>
    <w:rsid w:val="00C52252"/>
    <w:rsid w:val="00C522F1"/>
    <w:rsid w:val="00C52649"/>
    <w:rsid w:val="00C53921"/>
    <w:rsid w:val="00C57DD0"/>
    <w:rsid w:val="00C6009B"/>
    <w:rsid w:val="00C6285F"/>
    <w:rsid w:val="00C62A59"/>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5081C"/>
    <w:rsid w:val="00D50912"/>
    <w:rsid w:val="00D520D6"/>
    <w:rsid w:val="00D53A39"/>
    <w:rsid w:val="00D5437C"/>
    <w:rsid w:val="00D54576"/>
    <w:rsid w:val="00D548F6"/>
    <w:rsid w:val="00D55D4A"/>
    <w:rsid w:val="00D60452"/>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749"/>
    <w:rsid w:val="00DA0CBF"/>
    <w:rsid w:val="00DA1C3D"/>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9D4"/>
    <w:rsid w:val="00DC6E2F"/>
    <w:rsid w:val="00DC7208"/>
    <w:rsid w:val="00DC7E17"/>
    <w:rsid w:val="00DD76CC"/>
    <w:rsid w:val="00DD7DAF"/>
    <w:rsid w:val="00DE0304"/>
    <w:rsid w:val="00DE03B6"/>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2B61"/>
    <w:rsid w:val="00E16BD6"/>
    <w:rsid w:val="00E17045"/>
    <w:rsid w:val="00E2081E"/>
    <w:rsid w:val="00E20A8F"/>
    <w:rsid w:val="00E20A91"/>
    <w:rsid w:val="00E229C3"/>
    <w:rsid w:val="00E22A32"/>
    <w:rsid w:val="00E24033"/>
    <w:rsid w:val="00E25D92"/>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0EC6"/>
    <w:rsid w:val="00E730AB"/>
    <w:rsid w:val="00E764D2"/>
    <w:rsid w:val="00E80148"/>
    <w:rsid w:val="00E8190F"/>
    <w:rsid w:val="00E83D9D"/>
    <w:rsid w:val="00E84130"/>
    <w:rsid w:val="00E86D3D"/>
    <w:rsid w:val="00E87A79"/>
    <w:rsid w:val="00E903DD"/>
    <w:rsid w:val="00E90C9E"/>
    <w:rsid w:val="00E91C90"/>
    <w:rsid w:val="00E92C9E"/>
    <w:rsid w:val="00E95604"/>
    <w:rsid w:val="00E96899"/>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1C82D-2892-4A80-8C21-ABC7F5321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29310</Words>
  <Characters>167072</Characters>
  <Application>Microsoft Office Word</Application>
  <DocSecurity>0</DocSecurity>
  <Lines>1392</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2019-04-16T09:22:00Z</dcterms:created>
  <dcterms:modified xsi:type="dcterms:W3CDTF">2019-04-29T09:25:00Z</dcterms:modified>
</cp:coreProperties>
</file>